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BD" w:rsidRPr="006A28DD" w:rsidRDefault="005C07BD" w:rsidP="000C1CDB">
      <w:pPr>
        <w:keepNext/>
        <w:spacing w:after="0" w:line="360" w:lineRule="auto"/>
        <w:ind w:left="360" w:hanging="360"/>
        <w:outlineLvl w:val="0"/>
        <w:rPr>
          <w:rFonts w:ascii="Arial" w:eastAsia="Times New Roman" w:hAnsi="Arial" w:cs="Times New Roman"/>
          <w:b/>
          <w:bCs/>
          <w:sz w:val="14"/>
          <w:szCs w:val="16"/>
          <w:lang w:eastAsia="pl-PL"/>
        </w:rPr>
      </w:pPr>
    </w:p>
    <w:tbl>
      <w:tblPr>
        <w:tblStyle w:val="Tabela-Siatka1"/>
        <w:tblW w:w="1008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75"/>
        <w:gridCol w:w="6018"/>
        <w:gridCol w:w="883"/>
        <w:gridCol w:w="884"/>
        <w:gridCol w:w="1237"/>
        <w:gridCol w:w="11"/>
      </w:tblGrid>
      <w:tr w:rsidR="0044258A" w:rsidRPr="005C07BD" w:rsidTr="00310C95">
        <w:trPr>
          <w:gridAfter w:val="1"/>
          <w:wAfter w:w="11" w:type="dxa"/>
          <w:trHeight w:val="323"/>
        </w:trPr>
        <w:tc>
          <w:tcPr>
            <w:tcW w:w="1050" w:type="dxa"/>
            <w:gridSpan w:val="2"/>
            <w:vMerge w:val="restart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44258A" w:rsidRPr="005C07BD" w:rsidRDefault="0044258A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bookmarkStart w:id="0" w:name="_Hlk501565826"/>
            <w:r w:rsidRPr="005C07BD">
              <w:rPr>
                <w:rFonts w:ascii="Arial" w:hAnsi="Arial" w:cs="Arial"/>
                <w:b/>
                <w:sz w:val="12"/>
                <w:szCs w:val="16"/>
              </w:rPr>
              <w:t>Grupa taryfowa</w:t>
            </w:r>
          </w:p>
        </w:tc>
        <w:tc>
          <w:tcPr>
            <w:tcW w:w="6018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shd w:val="clear" w:color="auto" w:fill="302973"/>
            <w:vAlign w:val="center"/>
            <w:hideMark/>
          </w:tcPr>
          <w:p w:rsidR="0044258A" w:rsidRPr="005C07BD" w:rsidRDefault="0044258A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5C07BD">
              <w:rPr>
                <w:rFonts w:ascii="Arial" w:hAnsi="Arial" w:cs="Arial"/>
                <w:b/>
                <w:sz w:val="12"/>
                <w:szCs w:val="16"/>
              </w:rPr>
              <w:t>Opis grupy taryfowej</w:t>
            </w:r>
          </w:p>
        </w:tc>
        <w:tc>
          <w:tcPr>
            <w:tcW w:w="1767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44258A" w:rsidRPr="0098329A" w:rsidRDefault="0044258A" w:rsidP="0098329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98329A">
              <w:rPr>
                <w:rFonts w:ascii="Arial" w:hAnsi="Arial" w:cs="Arial"/>
                <w:b/>
                <w:bCs/>
                <w:sz w:val="12"/>
                <w:szCs w:val="16"/>
              </w:rPr>
              <w:t>za dostawę wody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/zł/</w:t>
            </w:r>
          </w:p>
        </w:tc>
        <w:tc>
          <w:tcPr>
            <w:tcW w:w="1237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nil"/>
              <w:right w:val="double" w:sz="4" w:space="0" w:color="auto"/>
            </w:tcBorders>
            <w:shd w:val="clear" w:color="auto" w:fill="302973"/>
            <w:vAlign w:val="center"/>
          </w:tcPr>
          <w:p w:rsidR="0044258A" w:rsidRPr="005C07BD" w:rsidRDefault="0044258A" w:rsidP="0098329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Jednostka miary</w:t>
            </w:r>
          </w:p>
        </w:tc>
      </w:tr>
      <w:tr w:rsidR="0044258A" w:rsidRPr="005C07BD" w:rsidTr="00310C95">
        <w:trPr>
          <w:gridAfter w:val="1"/>
          <w:wAfter w:w="11" w:type="dxa"/>
          <w:trHeight w:val="243"/>
        </w:trPr>
        <w:tc>
          <w:tcPr>
            <w:tcW w:w="1050" w:type="dxa"/>
            <w:gridSpan w:val="2"/>
            <w:vMerge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4EC"/>
            <w:vAlign w:val="center"/>
          </w:tcPr>
          <w:p w:rsidR="0044258A" w:rsidRPr="005C07BD" w:rsidRDefault="0044258A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018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FFFFFF" w:themeColor="background1"/>
            </w:tcBorders>
            <w:shd w:val="clear" w:color="auto" w:fill="E4E4EC"/>
            <w:vAlign w:val="center"/>
          </w:tcPr>
          <w:p w:rsidR="0044258A" w:rsidRPr="005C07BD" w:rsidRDefault="0044258A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44258A" w:rsidRPr="005C07BD" w:rsidRDefault="0044258A" w:rsidP="00CD39B1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netto</w:t>
            </w:r>
          </w:p>
        </w:tc>
        <w:tc>
          <w:tcPr>
            <w:tcW w:w="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44258A" w:rsidRPr="005C07BD" w:rsidRDefault="0044258A" w:rsidP="00CD39B1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brutto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E4E4EC"/>
          </w:tcPr>
          <w:p w:rsidR="0044258A" w:rsidRPr="005C07BD" w:rsidRDefault="0044258A" w:rsidP="000C1CD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44258A" w:rsidRPr="00DA1F69" w:rsidTr="00310C95">
        <w:trPr>
          <w:trHeight w:val="45"/>
        </w:trPr>
        <w:tc>
          <w:tcPr>
            <w:tcW w:w="10083" w:type="dxa"/>
            <w:gridSpan w:val="7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44258A" w:rsidRPr="00BE68FF" w:rsidRDefault="0044258A" w:rsidP="00D8777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44258A" w:rsidRPr="00DA1F69" w:rsidTr="00310C95">
        <w:trPr>
          <w:trHeight w:val="393"/>
        </w:trPr>
        <w:tc>
          <w:tcPr>
            <w:tcW w:w="10083" w:type="dxa"/>
            <w:gridSpan w:val="7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  <w:shd w:val="clear" w:color="auto" w:fill="302973"/>
            <w:vAlign w:val="center"/>
          </w:tcPr>
          <w:p w:rsidR="0044258A" w:rsidRPr="00DA1F69" w:rsidRDefault="0044258A" w:rsidP="00D8777C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</w:rPr>
            </w:pPr>
            <w:r w:rsidRPr="00BE68FF">
              <w:rPr>
                <w:rFonts w:ascii="Arial" w:hAnsi="Arial" w:cs="Arial"/>
                <w:b/>
                <w:sz w:val="12"/>
              </w:rPr>
              <w:t>Stawki opłaty abonamentowej za dostawę wody dla odbiorców usług zbiorowego zaopatrzenia w wodę niebędących  odbiorcami usług zbiorowego odprowadzania ścieków</w:t>
            </w:r>
          </w:p>
        </w:tc>
      </w:tr>
      <w:tr w:rsidR="0044258A" w:rsidRPr="005C07BD" w:rsidTr="00310C95">
        <w:trPr>
          <w:gridAfter w:val="1"/>
          <w:wAfter w:w="11" w:type="dxa"/>
          <w:trHeight w:val="429"/>
        </w:trPr>
        <w:tc>
          <w:tcPr>
            <w:tcW w:w="875" w:type="dxa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G.13</w:t>
            </w:r>
          </w:p>
        </w:tc>
        <w:tc>
          <w:tcPr>
            <w:tcW w:w="6193" w:type="dxa"/>
            <w:gridSpan w:val="2"/>
            <w:tcBorders>
              <w:top w:val="double" w:sz="4" w:space="0" w:color="000000" w:themeColor="text1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DA37B3" w:rsidRDefault="0044258A" w:rsidP="00DA37B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do 3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/h, otrzymujący fakturę w formie papierowej</w:t>
            </w:r>
          </w:p>
        </w:tc>
        <w:tc>
          <w:tcPr>
            <w:tcW w:w="883" w:type="dxa"/>
            <w:tcBorders>
              <w:top w:val="double" w:sz="4" w:space="0" w:color="000000" w:themeColor="text1"/>
              <w:left w:val="double" w:sz="4" w:space="0" w:color="auto"/>
              <w:bottom w:val="dotted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6,19</w:t>
            </w:r>
          </w:p>
        </w:tc>
        <w:tc>
          <w:tcPr>
            <w:tcW w:w="884" w:type="dxa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44258A" w:rsidRPr="00477397" w:rsidRDefault="0044258A" w:rsidP="00DA37B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6,69</w:t>
            </w:r>
          </w:p>
        </w:tc>
        <w:tc>
          <w:tcPr>
            <w:tcW w:w="1237" w:type="dxa"/>
            <w:tcBorders>
              <w:top w:val="double" w:sz="4" w:space="0" w:color="000000" w:themeColor="text1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44258A" w:rsidRPr="005C07BD" w:rsidTr="00310C95">
        <w:trPr>
          <w:gridAfter w:val="1"/>
          <w:wAfter w:w="11" w:type="dxa"/>
          <w:trHeight w:val="556"/>
        </w:trPr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G.14</w:t>
            </w:r>
          </w:p>
        </w:tc>
        <w:tc>
          <w:tcPr>
            <w:tcW w:w="6193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od  3,5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do 10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/h, otrzymujący fakturę w formie papierowej</w:t>
            </w:r>
          </w:p>
        </w:tc>
        <w:tc>
          <w:tcPr>
            <w:tcW w:w="8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10,16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10,97</w:t>
            </w: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44258A" w:rsidRPr="005C07BD" w:rsidTr="00310C95">
        <w:trPr>
          <w:gridAfter w:val="1"/>
          <w:wAfter w:w="11" w:type="dxa"/>
          <w:trHeight w:val="550"/>
        </w:trPr>
        <w:tc>
          <w:tcPr>
            <w:tcW w:w="87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G.15</w:t>
            </w:r>
          </w:p>
        </w:tc>
        <w:tc>
          <w:tcPr>
            <w:tcW w:w="6193" w:type="dxa"/>
            <w:gridSpan w:val="2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>Odbiorcy usług zbiorowego zaopatrzenia w wodę, niebędący odbiorcami usług zbiorowego odprowadzania ścieków</w:t>
            </w:r>
            <w:r>
              <w:rPr>
                <w:rFonts w:ascii="Arial" w:hAnsi="Arial" w:cs="Arial"/>
                <w:sz w:val="12"/>
                <w:szCs w:val="16"/>
              </w:rPr>
              <w:t>, rozliczani na podstawie wskazań wodomierza głównego o przepływie nominalnym powyżej 16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/h, otrzymujący fakturę w formie papierowej</w:t>
            </w:r>
          </w:p>
        </w:tc>
        <w:tc>
          <w:tcPr>
            <w:tcW w:w="88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17,13</w:t>
            </w:r>
          </w:p>
        </w:tc>
        <w:tc>
          <w:tcPr>
            <w:tcW w:w="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18,50</w:t>
            </w:r>
          </w:p>
        </w:tc>
        <w:tc>
          <w:tcPr>
            <w:tcW w:w="1237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44258A" w:rsidRPr="005C07BD" w:rsidTr="00310C95">
        <w:trPr>
          <w:gridAfter w:val="1"/>
          <w:wAfter w:w="11" w:type="dxa"/>
          <w:trHeight w:val="593"/>
        </w:trPr>
        <w:tc>
          <w:tcPr>
            <w:tcW w:w="8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G.16</w:t>
            </w:r>
          </w:p>
        </w:tc>
        <w:tc>
          <w:tcPr>
            <w:tcW w:w="6193" w:type="dxa"/>
            <w:gridSpan w:val="2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do 3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/h, otrzymujący fakturę w formie elektronicznej (e-faktura)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4,27</w:t>
            </w:r>
          </w:p>
        </w:tc>
        <w:tc>
          <w:tcPr>
            <w:tcW w:w="8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4,61</w:t>
            </w:r>
          </w:p>
        </w:tc>
        <w:tc>
          <w:tcPr>
            <w:tcW w:w="1237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44258A" w:rsidRPr="005C07BD" w:rsidTr="00310C95">
        <w:trPr>
          <w:gridAfter w:val="1"/>
          <w:wAfter w:w="11" w:type="dxa"/>
          <w:trHeight w:val="593"/>
        </w:trPr>
        <w:tc>
          <w:tcPr>
            <w:tcW w:w="8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G.17</w:t>
            </w:r>
          </w:p>
        </w:tc>
        <w:tc>
          <w:tcPr>
            <w:tcW w:w="6193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od 3,5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 do 10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/h, otrzymujący fakturę w formie elektronicznej (e-faktura)</w:t>
            </w:r>
          </w:p>
        </w:tc>
        <w:tc>
          <w:tcPr>
            <w:tcW w:w="88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8,24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8,90</w:t>
            </w:r>
          </w:p>
        </w:tc>
        <w:tc>
          <w:tcPr>
            <w:tcW w:w="123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  <w:tr w:rsidR="0044258A" w:rsidRPr="005C07BD" w:rsidTr="00310C95">
        <w:trPr>
          <w:gridAfter w:val="1"/>
          <w:wAfter w:w="11" w:type="dxa"/>
          <w:trHeight w:val="593"/>
        </w:trPr>
        <w:tc>
          <w:tcPr>
            <w:tcW w:w="87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4258A" w:rsidRPr="005C07BD" w:rsidRDefault="0044258A" w:rsidP="000C1CDB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G.18</w:t>
            </w:r>
          </w:p>
        </w:tc>
        <w:tc>
          <w:tcPr>
            <w:tcW w:w="6193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DA37B3">
            <w:pPr>
              <w:spacing w:before="40" w:after="40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5C07BD">
              <w:rPr>
                <w:rFonts w:ascii="Arial" w:hAnsi="Arial" w:cs="Arial"/>
                <w:sz w:val="12"/>
                <w:szCs w:val="16"/>
              </w:rPr>
              <w:t xml:space="preserve">Odbiorcy usług zbiorowego zaopatrzenia w wodę, niebędący odbiorcami usług zbiorowego odprowadzania ścieków, rozliczani </w:t>
            </w:r>
            <w:r>
              <w:rPr>
                <w:rFonts w:ascii="Arial" w:hAnsi="Arial" w:cs="Arial"/>
                <w:sz w:val="12"/>
                <w:szCs w:val="16"/>
              </w:rPr>
              <w:t>na podstawie wskazań wodomierza głównego o przepływie nominalnym powyżej 16  m</w:t>
            </w:r>
            <w:r>
              <w:rPr>
                <w:rFonts w:ascii="Arial" w:hAnsi="Arial" w:cs="Arial"/>
                <w:sz w:val="12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6"/>
              </w:rPr>
              <w:t>/h, otrzymujący fakturę w formie elektronicznej (e-faktura)</w:t>
            </w:r>
          </w:p>
        </w:tc>
        <w:tc>
          <w:tcPr>
            <w:tcW w:w="88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15,21</w:t>
            </w:r>
          </w:p>
        </w:tc>
        <w:tc>
          <w:tcPr>
            <w:tcW w:w="8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4258A" w:rsidRPr="00477397" w:rsidRDefault="0044258A" w:rsidP="00B22B9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16,43</w:t>
            </w:r>
          </w:p>
        </w:tc>
        <w:tc>
          <w:tcPr>
            <w:tcW w:w="123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58A" w:rsidRPr="005C07BD" w:rsidRDefault="0044258A" w:rsidP="00B22B90">
            <w:pPr>
              <w:spacing w:before="40" w:after="4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28DD">
              <w:rPr>
                <w:rFonts w:ascii="Arial" w:hAnsi="Arial" w:cs="Arial"/>
                <w:sz w:val="12"/>
                <w:szCs w:val="16"/>
              </w:rPr>
              <w:t>zł / odbiorcę usług / okres rozliczeniowy</w:t>
            </w:r>
          </w:p>
        </w:tc>
      </w:tr>
    </w:tbl>
    <w:bookmarkEnd w:id="0"/>
    <w:p w:rsidR="005C07BD" w:rsidRDefault="0044258A" w:rsidP="0044258A">
      <w:pPr>
        <w:spacing w:before="200" w:after="40" w:line="300" w:lineRule="atLeast"/>
        <w:jc w:val="both"/>
        <w:rPr>
          <w:rFonts w:ascii="Arial" w:eastAsia="Times New Roman" w:hAnsi="Arial" w:cs="Arial"/>
          <w:b/>
          <w:bCs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       </w:t>
      </w:r>
      <w:r w:rsidR="005C07BD" w:rsidRPr="00477397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Wysokość cen za dostarczanie wody</w:t>
      </w:r>
      <w:r w:rsidR="002D0B08"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78"/>
        <w:gridCol w:w="3264"/>
        <w:gridCol w:w="1632"/>
        <w:gridCol w:w="1646"/>
        <w:gridCol w:w="1470"/>
      </w:tblGrid>
      <w:tr w:rsidR="00226AC5" w:rsidRPr="00226AC5" w:rsidTr="0044258A">
        <w:trPr>
          <w:trHeight w:val="209"/>
        </w:trPr>
        <w:tc>
          <w:tcPr>
            <w:tcW w:w="20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Taryfowa grupa odbiorców</w:t>
            </w:r>
          </w:p>
        </w:tc>
        <w:tc>
          <w:tcPr>
            <w:tcW w:w="3264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Wyszczególnienie</w:t>
            </w:r>
          </w:p>
        </w:tc>
        <w:tc>
          <w:tcPr>
            <w:tcW w:w="3278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Cena w zł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Jednostka miary</w:t>
            </w:r>
          </w:p>
        </w:tc>
      </w:tr>
      <w:tr w:rsidR="002D0B08" w:rsidTr="0044258A">
        <w:trPr>
          <w:trHeight w:val="52"/>
        </w:trPr>
        <w:tc>
          <w:tcPr>
            <w:tcW w:w="2078" w:type="dxa"/>
            <w:vMerge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2D0B08" w:rsidRPr="00477397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</w:p>
        </w:tc>
        <w:tc>
          <w:tcPr>
            <w:tcW w:w="32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2D0B08" w:rsidRPr="00477397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netto</w:t>
            </w:r>
          </w:p>
        </w:tc>
        <w:tc>
          <w:tcPr>
            <w:tcW w:w="1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2D0B08" w:rsidRPr="00226AC5" w:rsidRDefault="008604F1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20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brutto</w:t>
            </w:r>
          </w:p>
        </w:tc>
        <w:tc>
          <w:tcPr>
            <w:tcW w:w="1470" w:type="dxa"/>
            <w:vMerge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2D0B08" w:rsidRDefault="002D0B08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</w:p>
        </w:tc>
      </w:tr>
      <w:tr w:rsidR="0044258A" w:rsidTr="0044258A">
        <w:trPr>
          <w:trHeight w:val="319"/>
        </w:trPr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58A" w:rsidRDefault="0044258A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Wszystkie grupy taryfowe</w:t>
            </w:r>
          </w:p>
        </w:tc>
        <w:tc>
          <w:tcPr>
            <w:tcW w:w="3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258A" w:rsidRDefault="0044258A" w:rsidP="00DF55B3">
            <w:pPr>
              <w:spacing w:before="8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Cena za 1 m³ dostarczonej wody</w:t>
            </w:r>
          </w:p>
        </w:tc>
        <w:tc>
          <w:tcPr>
            <w:tcW w:w="1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258A" w:rsidRDefault="0044258A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3,36</w:t>
            </w:r>
          </w:p>
        </w:tc>
        <w:tc>
          <w:tcPr>
            <w:tcW w:w="1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258A" w:rsidRDefault="0044258A" w:rsidP="008A52E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3,6</w:t>
            </w:r>
            <w:r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58A" w:rsidRDefault="0044258A" w:rsidP="00DF55B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zł / m³</w:t>
            </w:r>
          </w:p>
        </w:tc>
      </w:tr>
    </w:tbl>
    <w:p w:rsidR="00951B08" w:rsidRPr="00477397" w:rsidRDefault="00140C33" w:rsidP="00846FDB">
      <w:pPr>
        <w:spacing w:before="120" w:after="40" w:line="300" w:lineRule="atLeast"/>
        <w:ind w:left="1276" w:hanging="1134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sz w:val="12"/>
          <w:szCs w:val="20"/>
          <w:lang w:eastAsia="pl-PL"/>
        </w:rPr>
        <w:t xml:space="preserve">    </w:t>
      </w:r>
      <w:r w:rsidR="00951B08" w:rsidRPr="00477397">
        <w:rPr>
          <w:rFonts w:ascii="Arial" w:eastAsia="Times New Roman" w:hAnsi="Arial" w:cs="Arial"/>
          <w:b/>
          <w:sz w:val="12"/>
          <w:szCs w:val="20"/>
          <w:lang w:eastAsia="pl-PL"/>
        </w:rPr>
        <w:t>Stawka opłaty abonamentowej za dostawę wody dla odbiorców korzystających z lokali w budynkach wielolokalowych</w:t>
      </w:r>
    </w:p>
    <w:tbl>
      <w:tblPr>
        <w:tblW w:w="1011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869"/>
        <w:gridCol w:w="1636"/>
        <w:gridCol w:w="1689"/>
        <w:gridCol w:w="1436"/>
      </w:tblGrid>
      <w:tr w:rsidR="00951B08" w:rsidRPr="00477397" w:rsidTr="0044258A">
        <w:trPr>
          <w:trHeight w:val="325"/>
        </w:trPr>
        <w:tc>
          <w:tcPr>
            <w:tcW w:w="148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Abonament</w:t>
            </w:r>
          </w:p>
        </w:tc>
        <w:tc>
          <w:tcPr>
            <w:tcW w:w="3869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Kategoria odbiorców usług</w:t>
            </w:r>
          </w:p>
        </w:tc>
        <w:tc>
          <w:tcPr>
            <w:tcW w:w="3325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 xml:space="preserve">  Cena w zł</w:t>
            </w:r>
          </w:p>
        </w:tc>
        <w:tc>
          <w:tcPr>
            <w:tcW w:w="1436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Jednostka miary</w:t>
            </w:r>
          </w:p>
        </w:tc>
      </w:tr>
      <w:tr w:rsidR="00951B08" w:rsidRPr="00477397" w:rsidTr="0044258A">
        <w:trPr>
          <w:trHeight w:val="273"/>
        </w:trPr>
        <w:tc>
          <w:tcPr>
            <w:tcW w:w="1488" w:type="dxa"/>
            <w:vMerge/>
            <w:tcBorders>
              <w:top w:val="single" w:sz="4" w:space="0" w:color="FFFFFF" w:themeColor="background1"/>
              <w:left w:val="double" w:sz="6" w:space="0" w:color="auto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386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netto</w:t>
            </w:r>
          </w:p>
        </w:tc>
        <w:tc>
          <w:tcPr>
            <w:tcW w:w="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951B08" w:rsidRPr="00477397" w:rsidRDefault="008604F1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brutto</w:t>
            </w:r>
          </w:p>
        </w:tc>
        <w:tc>
          <w:tcPr>
            <w:tcW w:w="14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double" w:sz="6" w:space="0" w:color="auto"/>
            </w:tcBorders>
            <w:shd w:val="clear" w:color="auto" w:fill="302973"/>
            <w:vAlign w:val="center"/>
            <w:hideMark/>
          </w:tcPr>
          <w:p w:rsidR="00951B08" w:rsidRPr="00477397" w:rsidRDefault="00951B08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pl-PL"/>
              </w:rPr>
            </w:pPr>
          </w:p>
        </w:tc>
      </w:tr>
      <w:tr w:rsidR="00951B08" w:rsidRPr="00477397" w:rsidTr="0044258A">
        <w:trPr>
          <w:trHeight w:val="362"/>
        </w:trPr>
        <w:tc>
          <w:tcPr>
            <w:tcW w:w="14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08" w:rsidRPr="00477397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1</w:t>
            </w:r>
          </w:p>
        </w:tc>
        <w:tc>
          <w:tcPr>
            <w:tcW w:w="386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B08" w:rsidRPr="00477397" w:rsidRDefault="008A52EA" w:rsidP="00DF55B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Rozliczani na podstawie wskazań wodomierza lokalowego w budynku wielolokalowym</w:t>
            </w:r>
          </w:p>
        </w:tc>
        <w:tc>
          <w:tcPr>
            <w:tcW w:w="163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08" w:rsidRPr="00477397" w:rsidRDefault="00951B08" w:rsidP="008A52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4,</w:t>
            </w:r>
            <w:r w:rsidR="008A52EA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59</w:t>
            </w:r>
          </w:p>
        </w:tc>
        <w:tc>
          <w:tcPr>
            <w:tcW w:w="168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08" w:rsidRPr="00477397" w:rsidRDefault="00951B08" w:rsidP="008A52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4,</w:t>
            </w:r>
            <w:r w:rsidR="008A52EA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96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51B08" w:rsidRPr="00477397" w:rsidRDefault="00951B08" w:rsidP="00140C33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zł / wodomierz / okres rozliczeniowy</w:t>
            </w:r>
          </w:p>
        </w:tc>
      </w:tr>
    </w:tbl>
    <w:p w:rsidR="00951B08" w:rsidRPr="00477397" w:rsidRDefault="00D8777C" w:rsidP="00846FDB">
      <w:pPr>
        <w:spacing w:before="120" w:after="40" w:line="300" w:lineRule="atLeast"/>
        <w:ind w:firstLine="142"/>
        <w:jc w:val="both"/>
        <w:rPr>
          <w:rFonts w:ascii="Arial" w:eastAsia="Times New Roman" w:hAnsi="Arial" w:cs="Arial"/>
          <w:b/>
          <w:bCs/>
          <w:sz w:val="12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   </w:t>
      </w:r>
      <w:r w:rsidR="00951B08" w:rsidRPr="00477397">
        <w:rPr>
          <w:rFonts w:ascii="Arial" w:eastAsia="Times New Roman" w:hAnsi="Arial" w:cs="Arial"/>
          <w:b/>
          <w:bCs/>
          <w:sz w:val="12"/>
          <w:szCs w:val="20"/>
          <w:lang w:eastAsia="pl-PL"/>
        </w:rPr>
        <w:t>Opłata za przyłączenie odbiorcy do urządzeń wodociągowych</w:t>
      </w:r>
      <w:r>
        <w:rPr>
          <w:rFonts w:ascii="Arial" w:eastAsia="Times New Roman" w:hAnsi="Arial" w:cs="Arial"/>
          <w:b/>
          <w:bCs/>
          <w:sz w:val="12"/>
          <w:szCs w:val="20"/>
          <w:lang w:eastAsia="pl-PL"/>
        </w:rPr>
        <w:t xml:space="preserve"> </w:t>
      </w:r>
    </w:p>
    <w:tbl>
      <w:tblPr>
        <w:tblW w:w="1010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9"/>
        <w:gridCol w:w="1040"/>
        <w:gridCol w:w="1040"/>
        <w:gridCol w:w="1337"/>
      </w:tblGrid>
      <w:tr w:rsidR="00140C33" w:rsidRPr="00477397" w:rsidTr="00310C95">
        <w:trPr>
          <w:trHeight w:val="232"/>
        </w:trPr>
        <w:tc>
          <w:tcPr>
            <w:tcW w:w="668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FFFFFF" w:themeColor="background1"/>
            </w:tcBorders>
            <w:shd w:val="clear" w:color="auto" w:fill="302973"/>
            <w:vAlign w:val="center"/>
          </w:tcPr>
          <w:p w:rsidR="00140C33" w:rsidRPr="00226AC5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Wyszczególnienie</w:t>
            </w:r>
          </w:p>
        </w:tc>
        <w:tc>
          <w:tcPr>
            <w:tcW w:w="2080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140C33" w:rsidRPr="00226AC5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Cena w zł</w:t>
            </w:r>
          </w:p>
        </w:tc>
        <w:tc>
          <w:tcPr>
            <w:tcW w:w="1337" w:type="dxa"/>
            <w:vMerge w:val="restart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000000"/>
            </w:tcBorders>
            <w:shd w:val="clear" w:color="auto" w:fill="302973"/>
            <w:vAlign w:val="center"/>
            <w:hideMark/>
          </w:tcPr>
          <w:p w:rsidR="00140C33" w:rsidRPr="00226AC5" w:rsidRDefault="00140C33" w:rsidP="00DF55B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Jednostka miary</w:t>
            </w:r>
          </w:p>
        </w:tc>
      </w:tr>
      <w:tr w:rsidR="00140C33" w:rsidRPr="00477397" w:rsidTr="00310C95">
        <w:trPr>
          <w:trHeight w:val="381"/>
        </w:trPr>
        <w:tc>
          <w:tcPr>
            <w:tcW w:w="6689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FFFFFF" w:themeColor="background1"/>
            </w:tcBorders>
            <w:vAlign w:val="center"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140C33" w:rsidRPr="00226AC5" w:rsidRDefault="008604F1" w:rsidP="00DF55B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n</w:t>
            </w:r>
            <w:r w:rsidR="00140C33"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etto</w:t>
            </w:r>
          </w:p>
        </w:tc>
        <w:tc>
          <w:tcPr>
            <w:tcW w:w="1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single" w:sz="4" w:space="0" w:color="FFFFFF" w:themeColor="background1"/>
            </w:tcBorders>
            <w:shd w:val="clear" w:color="auto" w:fill="302973"/>
            <w:vAlign w:val="center"/>
            <w:hideMark/>
          </w:tcPr>
          <w:p w:rsidR="00140C33" w:rsidRPr="00226AC5" w:rsidRDefault="008604F1" w:rsidP="00DF55B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  <w:r w:rsidRPr="00226AC5"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  <w:t>brutto</w:t>
            </w:r>
          </w:p>
        </w:tc>
        <w:tc>
          <w:tcPr>
            <w:tcW w:w="133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6" w:space="0" w:color="000000"/>
              <w:right w:val="double" w:sz="6" w:space="0" w:color="000000"/>
            </w:tcBorders>
            <w:shd w:val="clear" w:color="auto" w:fill="302973"/>
            <w:vAlign w:val="center"/>
            <w:hideMark/>
          </w:tcPr>
          <w:p w:rsidR="00140C33" w:rsidRPr="00226AC5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2"/>
                <w:szCs w:val="16"/>
                <w:lang w:eastAsia="pl-PL"/>
              </w:rPr>
            </w:pPr>
          </w:p>
        </w:tc>
      </w:tr>
      <w:tr w:rsidR="00140C33" w:rsidRPr="00477397" w:rsidTr="00310C95">
        <w:trPr>
          <w:trHeight w:val="421"/>
        </w:trPr>
        <w:tc>
          <w:tcPr>
            <w:tcW w:w="6689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33" w:rsidRPr="00477397" w:rsidRDefault="00140C33" w:rsidP="00DF5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Stawka opłaty za przyłączenie do urządzeń wodociągowych będących w posiadaniu Spółki,  wynikająca z kosztów przeprowadzenia prób technicznych przyłącza wybudowanego przez odbiorcę usług.</w:t>
            </w:r>
          </w:p>
        </w:tc>
        <w:tc>
          <w:tcPr>
            <w:tcW w:w="1040" w:type="dxa"/>
            <w:tcBorders>
              <w:top w:val="double" w:sz="6" w:space="0" w:color="000000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150,00</w:t>
            </w:r>
          </w:p>
        </w:tc>
        <w:tc>
          <w:tcPr>
            <w:tcW w:w="1040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184,50</w:t>
            </w:r>
          </w:p>
        </w:tc>
        <w:tc>
          <w:tcPr>
            <w:tcW w:w="1337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40C33" w:rsidRPr="00477397" w:rsidRDefault="00140C33" w:rsidP="00DF5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</w:pPr>
            <w:r w:rsidRPr="00477397">
              <w:rPr>
                <w:rFonts w:ascii="Arial" w:eastAsia="Times New Roman" w:hAnsi="Arial" w:cs="Arial"/>
                <w:color w:val="000000"/>
                <w:sz w:val="12"/>
                <w:szCs w:val="16"/>
                <w:lang w:eastAsia="pl-PL"/>
              </w:rPr>
              <w:t>zł / przyłączenie</w:t>
            </w:r>
          </w:p>
        </w:tc>
      </w:tr>
    </w:tbl>
    <w:p w:rsidR="00041C87" w:rsidRPr="00477397" w:rsidRDefault="00041C87" w:rsidP="0044258A">
      <w:pPr>
        <w:spacing w:before="200" w:after="0" w:line="240" w:lineRule="atLeast"/>
        <w:ind w:firstLine="142"/>
        <w:jc w:val="both"/>
        <w:rPr>
          <w:sz w:val="12"/>
        </w:rPr>
      </w:pPr>
      <w:bookmarkStart w:id="1" w:name="_GoBack"/>
      <w:bookmarkEnd w:id="1"/>
    </w:p>
    <w:sectPr w:rsidR="00041C87" w:rsidRPr="00477397" w:rsidSect="00CD39B1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BD"/>
    <w:rsid w:val="00041187"/>
    <w:rsid w:val="00041C87"/>
    <w:rsid w:val="00051518"/>
    <w:rsid w:val="000C1CDB"/>
    <w:rsid w:val="000D5AC4"/>
    <w:rsid w:val="000F68A0"/>
    <w:rsid w:val="00105265"/>
    <w:rsid w:val="00140C33"/>
    <w:rsid w:val="001A3231"/>
    <w:rsid w:val="001C05A4"/>
    <w:rsid w:val="00211A66"/>
    <w:rsid w:val="00226924"/>
    <w:rsid w:val="00226AC5"/>
    <w:rsid w:val="002D0B08"/>
    <w:rsid w:val="00310C95"/>
    <w:rsid w:val="00354A64"/>
    <w:rsid w:val="00355CF4"/>
    <w:rsid w:val="003770F2"/>
    <w:rsid w:val="004351DF"/>
    <w:rsid w:val="0044258A"/>
    <w:rsid w:val="00477397"/>
    <w:rsid w:val="004A38E3"/>
    <w:rsid w:val="004F0F8B"/>
    <w:rsid w:val="00536289"/>
    <w:rsid w:val="00551BD3"/>
    <w:rsid w:val="005C07BD"/>
    <w:rsid w:val="006A28DD"/>
    <w:rsid w:val="0070797E"/>
    <w:rsid w:val="007251BA"/>
    <w:rsid w:val="007333D4"/>
    <w:rsid w:val="00761E93"/>
    <w:rsid w:val="00846FDB"/>
    <w:rsid w:val="008604F1"/>
    <w:rsid w:val="008871A6"/>
    <w:rsid w:val="008A52EA"/>
    <w:rsid w:val="00941291"/>
    <w:rsid w:val="00951B08"/>
    <w:rsid w:val="0098329A"/>
    <w:rsid w:val="009A39A8"/>
    <w:rsid w:val="00AC3089"/>
    <w:rsid w:val="00BB6BE8"/>
    <w:rsid w:val="00BE68FF"/>
    <w:rsid w:val="00C76430"/>
    <w:rsid w:val="00C973E3"/>
    <w:rsid w:val="00CD39B1"/>
    <w:rsid w:val="00D723C9"/>
    <w:rsid w:val="00D8777C"/>
    <w:rsid w:val="00DA1F69"/>
    <w:rsid w:val="00DA37B3"/>
    <w:rsid w:val="00DE6A92"/>
    <w:rsid w:val="00DF55B3"/>
    <w:rsid w:val="00E73347"/>
    <w:rsid w:val="00E90147"/>
    <w:rsid w:val="00E918BC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F48"/>
  <w15:docId w15:val="{E88655BF-729B-425E-AB22-1D075BEF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5C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C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4DBF-1177-4AC2-8C8A-DFE4FE13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Pepeta</dc:creator>
  <cp:lastModifiedBy>Monika Jahns</cp:lastModifiedBy>
  <cp:revision>4</cp:revision>
  <cp:lastPrinted>2017-12-20T21:34:00Z</cp:lastPrinted>
  <dcterms:created xsi:type="dcterms:W3CDTF">2017-12-20T21:51:00Z</dcterms:created>
  <dcterms:modified xsi:type="dcterms:W3CDTF">2017-12-20T21:52:00Z</dcterms:modified>
</cp:coreProperties>
</file>