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6" w:rsidRPr="008A7DA8" w:rsidRDefault="00696AC6" w:rsidP="00696AC6">
      <w:pPr>
        <w:spacing w:after="0" w:line="240" w:lineRule="auto"/>
        <w:ind w:left="6372"/>
        <w:jc w:val="both"/>
        <w:rPr>
          <w:rFonts w:ascii="Arial" w:hAnsi="Arial" w:cs="Arial"/>
          <w:sz w:val="12"/>
          <w:szCs w:val="16"/>
        </w:rPr>
      </w:pPr>
      <w:r w:rsidRPr="00A57FE2">
        <w:rPr>
          <w:rFonts w:ascii="Arial" w:hAnsi="Arial" w:cs="Arial"/>
          <w:sz w:val="12"/>
          <w:szCs w:val="16"/>
        </w:rPr>
        <w:t>Załącznik</w:t>
      </w:r>
      <w:r>
        <w:rPr>
          <w:rFonts w:ascii="Arial" w:hAnsi="Arial" w:cs="Arial"/>
          <w:sz w:val="12"/>
          <w:szCs w:val="16"/>
        </w:rPr>
        <w:t xml:space="preserve"> nr 2</w:t>
      </w:r>
    </w:p>
    <w:p w:rsidR="00696AC6" w:rsidRDefault="00696AC6" w:rsidP="00696AC6">
      <w:pPr>
        <w:spacing w:after="0" w:line="240" w:lineRule="auto"/>
        <w:ind w:left="5664" w:firstLine="708"/>
        <w:jc w:val="both"/>
        <w:rPr>
          <w:rFonts w:ascii="Arial" w:hAnsi="Arial" w:cs="Arial"/>
          <w:sz w:val="12"/>
          <w:szCs w:val="16"/>
        </w:rPr>
      </w:pPr>
      <w:proofErr w:type="gramStart"/>
      <w:r>
        <w:rPr>
          <w:rFonts w:ascii="Arial" w:hAnsi="Arial" w:cs="Arial"/>
          <w:sz w:val="12"/>
          <w:szCs w:val="16"/>
        </w:rPr>
        <w:t>d</w:t>
      </w:r>
      <w:r w:rsidRPr="008A7DA8">
        <w:rPr>
          <w:rFonts w:ascii="Arial" w:hAnsi="Arial" w:cs="Arial"/>
          <w:sz w:val="12"/>
          <w:szCs w:val="16"/>
        </w:rPr>
        <w:t>o</w:t>
      </w:r>
      <w:proofErr w:type="gramEnd"/>
      <w:r w:rsidRPr="008A7DA8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Zarządzenia nr 17/2014</w:t>
      </w:r>
    </w:p>
    <w:p w:rsidR="00696AC6" w:rsidRDefault="00696AC6" w:rsidP="00696AC6">
      <w:pPr>
        <w:spacing w:after="0" w:line="240" w:lineRule="auto"/>
        <w:ind w:left="5664" w:firstLine="708"/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Prezesa Zarządu PWiK w Śremie Sp. z o.</w:t>
      </w:r>
      <w:proofErr w:type="gramStart"/>
      <w:r>
        <w:rPr>
          <w:rFonts w:ascii="Arial" w:hAnsi="Arial" w:cs="Arial"/>
          <w:sz w:val="12"/>
          <w:szCs w:val="16"/>
        </w:rPr>
        <w:t>o</w:t>
      </w:r>
      <w:proofErr w:type="gramEnd"/>
      <w:r>
        <w:rPr>
          <w:rFonts w:ascii="Arial" w:hAnsi="Arial" w:cs="Arial"/>
          <w:sz w:val="12"/>
          <w:szCs w:val="16"/>
        </w:rPr>
        <w:t>.</w:t>
      </w:r>
    </w:p>
    <w:p w:rsidR="00696AC6" w:rsidRDefault="00696AC6" w:rsidP="00074F0A">
      <w:pPr>
        <w:pStyle w:val="Akapitzlist"/>
        <w:spacing w:after="120" w:line="300" w:lineRule="atLeast"/>
        <w:rPr>
          <w:rFonts w:ascii="Arial" w:hAnsi="Arial" w:cs="Arial"/>
          <w:b/>
          <w:i/>
          <w:sz w:val="20"/>
          <w:szCs w:val="20"/>
        </w:rPr>
      </w:pPr>
    </w:p>
    <w:p w:rsidR="00D431D6" w:rsidRPr="00074F0A" w:rsidRDefault="00D431D6" w:rsidP="00074F0A">
      <w:pPr>
        <w:pStyle w:val="Akapitzlist"/>
        <w:spacing w:after="120" w:line="300" w:lineRule="atLeast"/>
        <w:rPr>
          <w:rFonts w:ascii="Arial" w:hAnsi="Arial" w:cs="Arial"/>
          <w:b/>
          <w:i/>
          <w:sz w:val="20"/>
          <w:szCs w:val="20"/>
        </w:rPr>
      </w:pPr>
      <w:r w:rsidRPr="00074F0A">
        <w:rPr>
          <w:rFonts w:ascii="Arial" w:hAnsi="Arial" w:cs="Arial"/>
          <w:b/>
          <w:i/>
          <w:sz w:val="20"/>
          <w:szCs w:val="20"/>
        </w:rPr>
        <w:t xml:space="preserve">STANDARDY MATERIAŁOWE </w:t>
      </w:r>
      <w:r w:rsidR="00684FE9">
        <w:rPr>
          <w:rFonts w:ascii="Arial" w:hAnsi="Arial" w:cs="Arial"/>
          <w:b/>
          <w:i/>
          <w:sz w:val="20"/>
          <w:szCs w:val="20"/>
        </w:rPr>
        <w:t xml:space="preserve">DLA </w:t>
      </w:r>
      <w:r w:rsidRPr="00074F0A">
        <w:rPr>
          <w:rFonts w:ascii="Arial" w:hAnsi="Arial" w:cs="Arial"/>
          <w:b/>
          <w:i/>
          <w:sz w:val="20"/>
          <w:szCs w:val="20"/>
        </w:rPr>
        <w:t>BUDOW</w:t>
      </w:r>
      <w:r w:rsidR="009B17F0">
        <w:rPr>
          <w:rFonts w:ascii="Arial" w:hAnsi="Arial" w:cs="Arial"/>
          <w:b/>
          <w:i/>
          <w:sz w:val="20"/>
          <w:szCs w:val="20"/>
        </w:rPr>
        <w:t xml:space="preserve">ANYCH </w:t>
      </w:r>
      <w:r w:rsidRPr="00074F0A">
        <w:rPr>
          <w:rFonts w:ascii="Arial" w:hAnsi="Arial" w:cs="Arial"/>
          <w:b/>
          <w:i/>
          <w:sz w:val="20"/>
          <w:szCs w:val="20"/>
        </w:rPr>
        <w:t>SIECI KANALIZACYJNYCH</w:t>
      </w:r>
    </w:p>
    <w:p w:rsidR="00D431D6" w:rsidRDefault="00D431D6" w:rsidP="00074F0A">
      <w:pPr>
        <w:pStyle w:val="Akapitzlist"/>
        <w:spacing w:after="120" w:line="30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074F0A">
        <w:rPr>
          <w:rFonts w:ascii="Arial" w:hAnsi="Arial" w:cs="Arial"/>
          <w:b/>
          <w:i/>
          <w:sz w:val="20"/>
          <w:szCs w:val="20"/>
        </w:rPr>
        <w:t>STOSOWANE PRZEZ PWIK W ŚREMIE SP. Z O.O.</w:t>
      </w:r>
    </w:p>
    <w:p w:rsidR="00D431D6" w:rsidRPr="00074F0A" w:rsidRDefault="00D431D6" w:rsidP="00074F0A">
      <w:pPr>
        <w:pStyle w:val="Akapitzlist"/>
        <w:spacing w:after="120" w:line="30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:rsidR="003C2126" w:rsidRPr="00696AC6" w:rsidRDefault="003C2126" w:rsidP="00CD65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30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96AC6">
        <w:rPr>
          <w:rFonts w:ascii="Arial" w:hAnsi="Arial" w:cs="Arial"/>
          <w:b/>
          <w:bCs/>
          <w:sz w:val="18"/>
          <w:szCs w:val="18"/>
        </w:rPr>
        <w:t xml:space="preserve">Materiały stosowane do budowy </w:t>
      </w:r>
      <w:r w:rsidR="00D431D6" w:rsidRPr="00696AC6">
        <w:rPr>
          <w:rFonts w:ascii="Arial" w:hAnsi="Arial" w:cs="Arial"/>
          <w:b/>
          <w:bCs/>
          <w:sz w:val="18"/>
          <w:szCs w:val="18"/>
        </w:rPr>
        <w:t xml:space="preserve">sieci kanalizacyjnych </w:t>
      </w:r>
    </w:p>
    <w:p w:rsidR="003C2126" w:rsidRPr="00696AC6" w:rsidRDefault="003C2126" w:rsidP="00074F0A">
      <w:pPr>
        <w:pStyle w:val="Akapitzlist"/>
        <w:autoSpaceDE w:val="0"/>
        <w:autoSpaceDN w:val="0"/>
        <w:adjustRightInd w:val="0"/>
        <w:spacing w:after="120" w:line="300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696AC6">
        <w:rPr>
          <w:rFonts w:ascii="Arial" w:hAnsi="Arial" w:cs="Arial"/>
          <w:sz w:val="18"/>
          <w:szCs w:val="18"/>
        </w:rPr>
        <w:t xml:space="preserve">Materiały, z których wykonane będą kolektory kanalizacyjne (rury i kształtki) muszą być dopuszczone do stosowania przy wykonywaniu robót budowlanych zgodnie z </w:t>
      </w:r>
      <w:r w:rsidR="00CD245D" w:rsidRPr="00696AC6">
        <w:rPr>
          <w:rFonts w:ascii="Arial" w:hAnsi="Arial" w:cs="Arial"/>
          <w:sz w:val="18"/>
          <w:szCs w:val="18"/>
        </w:rPr>
        <w:t>Ustawą z dnia 16 kwietnia 2004 r. o wyrobach budowlanych (Dz. U. Nr 92, poz</w:t>
      </w:r>
      <w:proofErr w:type="gramStart"/>
      <w:r w:rsidR="00CD245D" w:rsidRPr="00696AC6">
        <w:rPr>
          <w:rFonts w:ascii="Arial" w:hAnsi="Arial" w:cs="Arial"/>
          <w:sz w:val="18"/>
          <w:szCs w:val="18"/>
        </w:rPr>
        <w:t xml:space="preserve">. 881). </w:t>
      </w:r>
      <w:r w:rsidRPr="00696AC6">
        <w:rPr>
          <w:rFonts w:ascii="Arial" w:hAnsi="Arial" w:cs="Arial"/>
          <w:sz w:val="18"/>
          <w:szCs w:val="18"/>
        </w:rPr>
        <w:t>Materiały</w:t>
      </w:r>
      <w:proofErr w:type="gramEnd"/>
      <w:r w:rsidRPr="00696AC6">
        <w:rPr>
          <w:rFonts w:ascii="Arial" w:hAnsi="Arial" w:cs="Arial"/>
          <w:sz w:val="18"/>
          <w:szCs w:val="18"/>
        </w:rPr>
        <w:t xml:space="preserve"> te muszą posiadać znak CE (jeżeli obowiązuje) oraz znak budowlany, o którym mowa </w:t>
      </w:r>
      <w:r w:rsidR="00CD245D" w:rsidRPr="00696AC6">
        <w:rPr>
          <w:rFonts w:ascii="Arial" w:hAnsi="Arial" w:cs="Arial"/>
          <w:sz w:val="18"/>
          <w:szCs w:val="18"/>
        </w:rPr>
        <w:t>w art. 5 ust1. pkt.3 ww. Ustawy</w:t>
      </w:r>
      <w:r w:rsidRPr="00696AC6">
        <w:rPr>
          <w:rFonts w:ascii="Arial" w:hAnsi="Arial" w:cs="Arial"/>
          <w:sz w:val="18"/>
          <w:szCs w:val="18"/>
        </w:rPr>
        <w:t>. PWiK</w:t>
      </w:r>
      <w:r w:rsidR="00CD245D" w:rsidRPr="00696AC6">
        <w:rPr>
          <w:rFonts w:ascii="Arial" w:hAnsi="Arial" w:cs="Arial"/>
          <w:sz w:val="18"/>
          <w:szCs w:val="18"/>
        </w:rPr>
        <w:t xml:space="preserve"> w </w:t>
      </w:r>
      <w:r w:rsidRPr="00696AC6">
        <w:rPr>
          <w:rFonts w:ascii="Arial" w:hAnsi="Arial" w:cs="Arial"/>
          <w:sz w:val="18"/>
          <w:szCs w:val="18"/>
        </w:rPr>
        <w:t>Śrem</w:t>
      </w:r>
      <w:r w:rsidR="00CD245D" w:rsidRPr="00696AC6">
        <w:rPr>
          <w:rFonts w:ascii="Arial" w:hAnsi="Arial" w:cs="Arial"/>
          <w:sz w:val="18"/>
          <w:szCs w:val="18"/>
        </w:rPr>
        <w:t>ie</w:t>
      </w:r>
      <w:r w:rsidRPr="00696AC6">
        <w:rPr>
          <w:rFonts w:ascii="Arial" w:hAnsi="Arial" w:cs="Arial"/>
          <w:sz w:val="18"/>
          <w:szCs w:val="18"/>
        </w:rPr>
        <w:t xml:space="preserve"> w szczegółowych specyfikacjach może wymagać, by niektóre wyroby mające być użyte do wykonania kanału były sprawdzane pod względem </w:t>
      </w:r>
      <w:proofErr w:type="gramStart"/>
      <w:r w:rsidRPr="00696AC6">
        <w:rPr>
          <w:rFonts w:ascii="Arial" w:hAnsi="Arial" w:cs="Arial"/>
          <w:sz w:val="18"/>
          <w:szCs w:val="18"/>
        </w:rPr>
        <w:t>swej jakości</w:t>
      </w:r>
      <w:proofErr w:type="gramEnd"/>
      <w:r w:rsidRPr="00696AC6">
        <w:rPr>
          <w:rFonts w:ascii="Arial" w:hAnsi="Arial" w:cs="Arial"/>
          <w:sz w:val="18"/>
          <w:szCs w:val="18"/>
        </w:rPr>
        <w:t xml:space="preserve"> przez niezależną od producenta jednostkę kontrolną. Materiały, ponadto muszą posiadać właściwości mechaniczne określone w normach oraz odrębnych przepisach. Materiał, z którego wykonane są kanały i kształtki powinien zapewniać ich trwałość, gładkość i szczelność na infiltrację i </w:t>
      </w:r>
      <w:proofErr w:type="spellStart"/>
      <w:r w:rsidRPr="00696AC6">
        <w:rPr>
          <w:rFonts w:ascii="Arial" w:hAnsi="Arial" w:cs="Arial"/>
          <w:sz w:val="18"/>
          <w:szCs w:val="18"/>
        </w:rPr>
        <w:t>eksfiltrację</w:t>
      </w:r>
      <w:proofErr w:type="spellEnd"/>
      <w:r w:rsidRPr="00696AC6">
        <w:rPr>
          <w:rFonts w:ascii="Arial" w:hAnsi="Arial" w:cs="Arial"/>
          <w:sz w:val="18"/>
          <w:szCs w:val="18"/>
        </w:rPr>
        <w:t xml:space="preserve"> oraz posiadać wystarczającą odporność na agresję chemiczną i ścieralność. Ponadto materiały zastosowane do wybudowania kanalizacji tłocznej powinny mieć wytrzymałość mechaniczną oraz konstrukcję umożliwiającą przenoszenie maksymalnych ciśnień oraz naprężeń rurociągów. Rury i kształtki powinny posiadać trwałe oznaczenia zgodne z normami.</w:t>
      </w:r>
    </w:p>
    <w:p w:rsidR="003C2126" w:rsidRPr="00696AC6" w:rsidRDefault="003C2126" w:rsidP="00CD65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300" w:lineRule="atLeast"/>
        <w:ind w:left="284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Rury </w:t>
      </w:r>
      <w:r w:rsidR="00074F0A" w:rsidRPr="00696AC6">
        <w:rPr>
          <w:rFonts w:ascii="Arial" w:eastAsia="Garamond,Bold" w:hAnsi="Arial" w:cs="Arial"/>
          <w:b/>
          <w:bCs/>
          <w:sz w:val="18"/>
          <w:szCs w:val="18"/>
        </w:rPr>
        <w:t>kanalizacyjne</w:t>
      </w:r>
    </w:p>
    <w:p w:rsidR="003C2126" w:rsidRPr="00696AC6" w:rsidRDefault="00CD245D" w:rsidP="00074F0A">
      <w:pPr>
        <w:pStyle w:val="Akapitzlist"/>
        <w:autoSpaceDE w:val="0"/>
        <w:autoSpaceDN w:val="0"/>
        <w:adjustRightInd w:val="0"/>
        <w:spacing w:after="120" w:line="300" w:lineRule="atLeast"/>
        <w:ind w:left="28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P</w:t>
      </w:r>
      <w:r w:rsidR="003C2126" w:rsidRPr="00696AC6">
        <w:rPr>
          <w:rFonts w:ascii="Arial" w:eastAsia="Garamond,Bold" w:hAnsi="Arial" w:cs="Arial"/>
          <w:sz w:val="18"/>
          <w:szCs w:val="18"/>
        </w:rPr>
        <w:t>rodukt powinien być wykonany zgodnie z normą, a jeśli norma nie istnieje to należy przedstawić aprobatę techniczną..</w:t>
      </w:r>
    </w:p>
    <w:p w:rsidR="00206750" w:rsidRPr="00696AC6" w:rsidRDefault="00206750" w:rsidP="0020675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Rodzaje stosowanych materiałów</w:t>
      </w:r>
    </w:p>
    <w:p w:rsidR="003C2126" w:rsidRPr="00696AC6" w:rsidRDefault="00CD245D" w:rsidP="005056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Rury kanalizacyjne przeznaczone </w:t>
      </w:r>
      <w:r w:rsidR="003C2126" w:rsidRPr="00696AC6">
        <w:rPr>
          <w:rFonts w:ascii="Arial" w:eastAsia="Garamond,Bold" w:hAnsi="Arial" w:cs="Arial"/>
          <w:b/>
          <w:bCs/>
          <w:sz w:val="18"/>
          <w:szCs w:val="18"/>
        </w:rPr>
        <w:t>dla systemu grawitacyjnego</w:t>
      </w:r>
    </w:p>
    <w:p w:rsidR="003C2126" w:rsidRPr="00696AC6" w:rsidRDefault="00CD245D" w:rsidP="00CD65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300" w:lineRule="atLeast"/>
        <w:ind w:left="1276" w:hanging="283"/>
        <w:jc w:val="both"/>
        <w:rPr>
          <w:rFonts w:ascii="Arial" w:eastAsia="Garamond,Bold" w:hAnsi="Arial" w:cs="Arial"/>
          <w:b/>
          <w:bCs/>
          <w:i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b/>
          <w:bCs/>
          <w:i/>
          <w:sz w:val="18"/>
          <w:szCs w:val="18"/>
        </w:rPr>
        <w:t>r</w:t>
      </w:r>
      <w:r w:rsidR="003C2126" w:rsidRPr="00696AC6">
        <w:rPr>
          <w:rFonts w:ascii="Arial" w:eastAsia="Garamond,Bold" w:hAnsi="Arial" w:cs="Arial"/>
          <w:b/>
          <w:bCs/>
          <w:i/>
          <w:sz w:val="18"/>
          <w:szCs w:val="18"/>
        </w:rPr>
        <w:t>ury</w:t>
      </w:r>
      <w:proofErr w:type="gramEnd"/>
      <w:r w:rsidR="003C2126" w:rsidRPr="00696AC6">
        <w:rPr>
          <w:rFonts w:ascii="Arial" w:eastAsia="Garamond,Bold" w:hAnsi="Arial" w:cs="Arial"/>
          <w:b/>
          <w:bCs/>
          <w:i/>
          <w:sz w:val="18"/>
          <w:szCs w:val="18"/>
        </w:rPr>
        <w:t xml:space="preserve"> z tworzyw termoplastycznych:</w:t>
      </w:r>
    </w:p>
    <w:p w:rsidR="003C2126" w:rsidRPr="00696AC6" w:rsidRDefault="00CD245D" w:rsidP="008855D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00" w:lineRule="atLeast"/>
        <w:ind w:left="1560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z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niezmiękczonego poli</w:t>
      </w:r>
      <w:r w:rsidR="003C2126" w:rsidRPr="00696AC6">
        <w:rPr>
          <w:rFonts w:ascii="Arial" w:eastAsia="Garamond,Bold" w:hAnsi="Arial" w:cs="Arial"/>
          <w:sz w:val="18"/>
          <w:szCs w:val="18"/>
        </w:rPr>
        <w:t>chlorku winylu PVC-U, wg</w:t>
      </w:r>
      <w:r w:rsidR="00074F0A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="003C2126" w:rsidRPr="00696AC6">
        <w:rPr>
          <w:rFonts w:ascii="Arial" w:eastAsia="Garamond,Bold" w:hAnsi="Arial" w:cs="Arial"/>
          <w:sz w:val="18"/>
          <w:szCs w:val="18"/>
        </w:rPr>
        <w:t>[1]</w:t>
      </w:r>
      <w:r w:rsidR="00074F0A" w:rsidRPr="00696AC6">
        <w:rPr>
          <w:rFonts w:ascii="Arial" w:eastAsia="Garamond,Bold" w:hAnsi="Arial" w:cs="Arial"/>
          <w:sz w:val="18"/>
          <w:szCs w:val="18"/>
        </w:rPr>
        <w:t xml:space="preserve"> (</w:t>
      </w:r>
      <w:r w:rsidR="00246401" w:rsidRPr="00696AC6">
        <w:rPr>
          <w:rFonts w:ascii="Arial" w:eastAsia="Garamond,Bold" w:hAnsi="Arial" w:cs="Arial"/>
          <w:sz w:val="18"/>
          <w:szCs w:val="18"/>
        </w:rPr>
        <w:t xml:space="preserve">pozycja w bibliografii), </w:t>
      </w:r>
    </w:p>
    <w:p w:rsidR="003C2126" w:rsidRPr="00696AC6" w:rsidRDefault="003C2126" w:rsidP="008855D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00" w:lineRule="atLeast"/>
        <w:ind w:left="1560" w:hanging="28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z polipropylenu lite (PP),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wg [2] ,</w:t>
      </w:r>
      <w:proofErr w:type="gramEnd"/>
    </w:p>
    <w:p w:rsidR="003C2126" w:rsidRPr="00696AC6" w:rsidRDefault="003C2126" w:rsidP="008855D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00" w:lineRule="atLeast"/>
        <w:ind w:left="1560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z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polipropylenu strukturalne (PP) wg [3],</w:t>
      </w:r>
    </w:p>
    <w:p w:rsidR="003C2126" w:rsidRPr="00696AC6" w:rsidRDefault="003C2126" w:rsidP="008855D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00" w:lineRule="atLeast"/>
        <w:ind w:left="1560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z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polietylenu (PE), wg [4]</w:t>
      </w:r>
    </w:p>
    <w:p w:rsidR="003C2126" w:rsidRPr="00696AC6" w:rsidRDefault="003C2126" w:rsidP="005056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Rury kanalizacyjne</w:t>
      </w:r>
      <w:r w:rsidR="00246401"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przeznaczone dla 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>kanałów ciśnieniowych</w:t>
      </w:r>
    </w:p>
    <w:p w:rsidR="003C2126" w:rsidRPr="00696AC6" w:rsidRDefault="00246401" w:rsidP="0050563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300" w:lineRule="atLeast"/>
        <w:ind w:left="1560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r</w:t>
      </w:r>
      <w:r w:rsidR="003C2126" w:rsidRPr="00696AC6">
        <w:rPr>
          <w:rFonts w:ascii="Arial" w:eastAsia="Garamond,Bold" w:hAnsi="Arial" w:cs="Arial"/>
          <w:sz w:val="18"/>
          <w:szCs w:val="18"/>
        </w:rPr>
        <w:t>ury</w:t>
      </w:r>
      <w:proofErr w:type="gramEnd"/>
      <w:r w:rsidR="003C2126" w:rsidRPr="00696AC6">
        <w:rPr>
          <w:rFonts w:ascii="Arial" w:eastAsia="Garamond,Bold" w:hAnsi="Arial" w:cs="Arial"/>
          <w:sz w:val="18"/>
          <w:szCs w:val="18"/>
        </w:rPr>
        <w:t xml:space="preserve"> z polietylen</w:t>
      </w:r>
      <w:r w:rsidRPr="00696AC6">
        <w:rPr>
          <w:rFonts w:ascii="Arial" w:eastAsia="Garamond,Bold" w:hAnsi="Arial" w:cs="Arial"/>
          <w:sz w:val="18"/>
          <w:szCs w:val="18"/>
        </w:rPr>
        <w:t>u</w:t>
      </w:r>
      <w:r w:rsidR="003C2126" w:rsidRPr="00696AC6">
        <w:rPr>
          <w:rFonts w:ascii="Arial" w:eastAsia="Garamond,Bold" w:hAnsi="Arial" w:cs="Arial"/>
          <w:sz w:val="18"/>
          <w:szCs w:val="18"/>
        </w:rPr>
        <w:t xml:space="preserve"> (PE), wg [13]</w:t>
      </w:r>
    </w:p>
    <w:p w:rsidR="009445E1" w:rsidRPr="00696AC6" w:rsidRDefault="009445E1" w:rsidP="009445E1">
      <w:pPr>
        <w:pStyle w:val="Akapitzlist"/>
        <w:autoSpaceDE w:val="0"/>
        <w:autoSpaceDN w:val="0"/>
        <w:adjustRightInd w:val="0"/>
        <w:spacing w:after="120" w:line="300" w:lineRule="atLeast"/>
        <w:ind w:left="1560"/>
        <w:jc w:val="both"/>
        <w:rPr>
          <w:rFonts w:ascii="Arial" w:eastAsia="Garamond,Bold" w:hAnsi="Arial" w:cs="Arial"/>
          <w:sz w:val="18"/>
          <w:szCs w:val="18"/>
        </w:rPr>
      </w:pPr>
    </w:p>
    <w:p w:rsidR="003C2126" w:rsidRPr="00696AC6" w:rsidRDefault="003C2126" w:rsidP="005056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Wytyczne materiałowe</w:t>
      </w:r>
    </w:p>
    <w:p w:rsidR="003C2126" w:rsidRPr="00696AC6" w:rsidRDefault="003C2126" w:rsidP="005056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Rury z tworzyw termoplastycznych dla przepływu grawitacyjnego</w:t>
      </w:r>
    </w:p>
    <w:p w:rsidR="003C2126" w:rsidRPr="00696AC6" w:rsidRDefault="003C2126" w:rsidP="00505631">
      <w:pPr>
        <w:pStyle w:val="Akapitzlist"/>
        <w:autoSpaceDE w:val="0"/>
        <w:autoSpaceDN w:val="0"/>
        <w:adjustRightInd w:val="0"/>
        <w:spacing w:after="120" w:line="300" w:lineRule="atLeast"/>
        <w:ind w:left="99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Tworzywa sztuczne dla grawitacyjnego przepływu powinny charakteryzować się niezbędnymi właściwościami wytrzymałościow</w:t>
      </w:r>
      <w:r w:rsidR="00CB26C4" w:rsidRPr="00696AC6">
        <w:rPr>
          <w:rFonts w:ascii="Arial" w:eastAsia="Garamond,Bold" w:hAnsi="Arial" w:cs="Arial"/>
          <w:sz w:val="18"/>
          <w:szCs w:val="18"/>
        </w:rPr>
        <w:t>ymi, odpornością na ścieranie, korozję oraz temperaturę.</w:t>
      </w:r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="00CB26C4" w:rsidRPr="00696AC6">
        <w:rPr>
          <w:rFonts w:ascii="Arial" w:eastAsia="Garamond,Bold" w:hAnsi="Arial" w:cs="Arial"/>
          <w:sz w:val="18"/>
          <w:szCs w:val="18"/>
        </w:rPr>
        <w:t>P</w:t>
      </w:r>
      <w:r w:rsidRPr="00696AC6">
        <w:rPr>
          <w:rFonts w:ascii="Arial" w:eastAsia="Garamond,Bold" w:hAnsi="Arial" w:cs="Arial"/>
          <w:sz w:val="18"/>
          <w:szCs w:val="18"/>
        </w:rPr>
        <w:t xml:space="preserve">ołączenia kielichowo </w:t>
      </w:r>
      <w:r w:rsidR="00CB26C4" w:rsidRPr="00696AC6">
        <w:rPr>
          <w:rFonts w:ascii="Arial" w:eastAsia="Garamond,Bold" w:hAnsi="Arial" w:cs="Arial"/>
          <w:sz w:val="18"/>
          <w:szCs w:val="18"/>
        </w:rPr>
        <w:t>–</w:t>
      </w:r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uszczelkow</w:t>
      </w:r>
      <w:r w:rsidR="00CB26C4" w:rsidRPr="00696AC6">
        <w:rPr>
          <w:rFonts w:ascii="Arial" w:eastAsia="Garamond,Bold" w:hAnsi="Arial" w:cs="Arial"/>
          <w:sz w:val="18"/>
          <w:szCs w:val="18"/>
        </w:rPr>
        <w:t>e</w:t>
      </w:r>
      <w:proofErr w:type="spellEnd"/>
      <w:r w:rsidR="00CB26C4" w:rsidRPr="00696AC6">
        <w:rPr>
          <w:rFonts w:ascii="Arial" w:eastAsia="Garamond,Bold" w:hAnsi="Arial" w:cs="Arial"/>
          <w:sz w:val="18"/>
          <w:szCs w:val="18"/>
        </w:rPr>
        <w:t xml:space="preserve"> winny</w:t>
      </w:r>
      <w:r w:rsidRPr="00696AC6">
        <w:rPr>
          <w:rFonts w:ascii="Arial" w:eastAsia="Garamond,Bold" w:hAnsi="Arial" w:cs="Arial"/>
          <w:sz w:val="18"/>
          <w:szCs w:val="18"/>
        </w:rPr>
        <w:t xml:space="preserve"> zapewnia</w:t>
      </w:r>
      <w:r w:rsidR="00CB26C4" w:rsidRPr="00696AC6">
        <w:rPr>
          <w:rFonts w:ascii="Arial" w:eastAsia="Garamond,Bold" w:hAnsi="Arial" w:cs="Arial"/>
          <w:sz w:val="18"/>
          <w:szCs w:val="18"/>
        </w:rPr>
        <w:t>ć</w:t>
      </w:r>
      <w:r w:rsidRPr="00696AC6">
        <w:rPr>
          <w:rFonts w:ascii="Arial" w:eastAsia="Garamond,Bold" w:hAnsi="Arial" w:cs="Arial"/>
          <w:sz w:val="18"/>
          <w:szCs w:val="18"/>
        </w:rPr>
        <w:t xml:space="preserve"> szczelność</w:t>
      </w:r>
      <w:r w:rsidR="00CB26C4" w:rsidRPr="00696AC6">
        <w:rPr>
          <w:rFonts w:ascii="Arial" w:eastAsia="Garamond,Bold" w:hAnsi="Arial" w:cs="Arial"/>
          <w:sz w:val="18"/>
          <w:szCs w:val="18"/>
        </w:rPr>
        <w:t xml:space="preserve"> przy ciśnieniu</w:t>
      </w:r>
      <w:r w:rsidRPr="00696AC6">
        <w:rPr>
          <w:rFonts w:ascii="Arial" w:eastAsia="Garamond,Bold" w:hAnsi="Arial" w:cs="Arial"/>
          <w:sz w:val="18"/>
          <w:szCs w:val="18"/>
        </w:rPr>
        <w:t xml:space="preserve"> minimum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0,5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bara</w:t>
      </w:r>
      <w:proofErr w:type="spellEnd"/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. </w:t>
      </w:r>
      <w:r w:rsidR="00CB26C4" w:rsidRPr="00696AC6">
        <w:rPr>
          <w:rFonts w:ascii="Arial" w:eastAsia="Garamond,Bold" w:hAnsi="Arial" w:cs="Arial"/>
          <w:sz w:val="18"/>
          <w:szCs w:val="18"/>
        </w:rPr>
        <w:t>I tak odpowiednio winny być:</w:t>
      </w:r>
    </w:p>
    <w:p w:rsidR="003C2126" w:rsidRPr="00696AC6" w:rsidRDefault="003C2126" w:rsidP="0050563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276" w:hanging="28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lastRenderedPageBreak/>
        <w:t>PVC-U</w:t>
      </w:r>
      <w:r w:rsidRPr="00696AC6">
        <w:rPr>
          <w:rFonts w:ascii="Arial" w:eastAsia="Garamond,Bold" w:hAnsi="Arial" w:cs="Arial"/>
          <w:sz w:val="18"/>
          <w:szCs w:val="18"/>
        </w:rPr>
        <w:t xml:space="preserve"> – klasy S</w:t>
      </w:r>
      <w:r w:rsidR="00CB26C4" w:rsidRPr="00696AC6">
        <w:rPr>
          <w:rFonts w:ascii="Arial" w:eastAsia="Garamond,Bold" w:hAnsi="Arial" w:cs="Arial"/>
          <w:sz w:val="18"/>
          <w:szCs w:val="18"/>
        </w:rPr>
        <w:t xml:space="preserve">: </w:t>
      </w:r>
      <w:r w:rsidRPr="00696AC6">
        <w:rPr>
          <w:rFonts w:ascii="Arial" w:eastAsia="Garamond,Bold" w:hAnsi="Arial" w:cs="Arial"/>
          <w:sz w:val="18"/>
          <w:szCs w:val="18"/>
        </w:rPr>
        <w:t xml:space="preserve">o litej, jednorodnej (wykonanej z tego samego materiału) strukturze ścianki, o sztywności obwodowej nie </w:t>
      </w:r>
      <w:r w:rsidR="00CB26C4" w:rsidRPr="00696AC6">
        <w:rPr>
          <w:rFonts w:ascii="Arial" w:eastAsia="Garamond,Bold" w:hAnsi="Arial" w:cs="Arial"/>
          <w:sz w:val="18"/>
          <w:szCs w:val="18"/>
        </w:rPr>
        <w:t xml:space="preserve">mniejszej niż 8 </w:t>
      </w:r>
      <w:proofErr w:type="spellStart"/>
      <w:r w:rsidR="00CB26C4"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="00CB26C4" w:rsidRPr="00696AC6">
        <w:rPr>
          <w:rFonts w:ascii="Arial" w:eastAsia="Garamond,Bold" w:hAnsi="Arial" w:cs="Arial"/>
          <w:sz w:val="18"/>
          <w:szCs w:val="18"/>
        </w:rPr>
        <w:t>/m2, (SN ≥ 8),</w:t>
      </w:r>
    </w:p>
    <w:p w:rsidR="003C2126" w:rsidRPr="00696AC6" w:rsidRDefault="003C2126" w:rsidP="0050563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276" w:hanging="28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PP</w:t>
      </w:r>
      <w:r w:rsidRPr="00696AC6">
        <w:rPr>
          <w:rFonts w:ascii="Arial" w:eastAsia="Garamond,Bold" w:hAnsi="Arial" w:cs="Arial"/>
          <w:sz w:val="18"/>
          <w:szCs w:val="18"/>
        </w:rPr>
        <w:t xml:space="preserve"> (polipropylen)</w:t>
      </w:r>
      <w:r w:rsidR="00CB26C4" w:rsidRPr="00696AC6">
        <w:rPr>
          <w:rFonts w:ascii="Arial" w:eastAsia="Garamond,Bold" w:hAnsi="Arial" w:cs="Arial"/>
          <w:sz w:val="18"/>
          <w:szCs w:val="18"/>
        </w:rPr>
        <w:t>:</w:t>
      </w:r>
      <w:r w:rsidRPr="00696AC6">
        <w:rPr>
          <w:rFonts w:ascii="Arial" w:eastAsia="Garamond,Bold" w:hAnsi="Arial" w:cs="Arial"/>
          <w:sz w:val="18"/>
          <w:szCs w:val="18"/>
        </w:rPr>
        <w:t xml:space="preserve"> o litej, jednorodnej strukturze ścianki, o sztywności obwodowej wg obliczeń wytrzymałościowych, lecz nie mniejszej niż 8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/m2, (SN ≥ 8), </w:t>
      </w:r>
    </w:p>
    <w:p w:rsidR="003C2126" w:rsidRPr="00696AC6" w:rsidRDefault="003C2126" w:rsidP="0050563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276" w:hanging="28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PP</w:t>
      </w:r>
      <w:r w:rsidRPr="00696AC6">
        <w:rPr>
          <w:rFonts w:ascii="Arial" w:eastAsia="Garamond,Bold" w:hAnsi="Arial" w:cs="Arial"/>
          <w:sz w:val="18"/>
          <w:szCs w:val="18"/>
        </w:rPr>
        <w:t xml:space="preserve"> (polipropylen)</w:t>
      </w:r>
      <w:r w:rsidR="00CB26C4" w:rsidRPr="00696AC6">
        <w:rPr>
          <w:rFonts w:ascii="Arial" w:eastAsia="Garamond,Bold" w:hAnsi="Arial" w:cs="Arial"/>
          <w:sz w:val="18"/>
          <w:szCs w:val="18"/>
        </w:rPr>
        <w:t>:</w:t>
      </w:r>
      <w:r w:rsidRPr="00696AC6">
        <w:rPr>
          <w:rFonts w:ascii="Arial" w:eastAsia="Garamond,Bold" w:hAnsi="Arial" w:cs="Arial"/>
          <w:sz w:val="18"/>
          <w:szCs w:val="18"/>
        </w:rPr>
        <w:t xml:space="preserve"> o strukturalnej budowie ścianek, z tego samego bazowego materiału, o sztywności obwodowej nie mniejszej niż 8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/m2, (SN ≥ 8),</w:t>
      </w:r>
    </w:p>
    <w:p w:rsidR="00CB26C4" w:rsidRPr="00696AC6" w:rsidRDefault="003C2126" w:rsidP="0050563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276" w:hanging="28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PE</w:t>
      </w:r>
      <w:r w:rsidRPr="00696AC6">
        <w:rPr>
          <w:rFonts w:ascii="Arial" w:eastAsia="Garamond,Bold" w:hAnsi="Arial" w:cs="Arial"/>
          <w:sz w:val="18"/>
          <w:szCs w:val="18"/>
        </w:rPr>
        <w:t xml:space="preserve"> (polietylen)</w:t>
      </w:r>
      <w:r w:rsidR="00CB26C4" w:rsidRPr="00696AC6">
        <w:rPr>
          <w:rFonts w:ascii="Arial" w:eastAsia="Garamond,Bold" w:hAnsi="Arial" w:cs="Arial"/>
          <w:sz w:val="18"/>
          <w:szCs w:val="18"/>
        </w:rPr>
        <w:t>: stosowane</w:t>
      </w:r>
      <w:r w:rsidRPr="00696AC6">
        <w:rPr>
          <w:rFonts w:ascii="Arial" w:eastAsia="Garamond,Bold" w:hAnsi="Arial" w:cs="Arial"/>
          <w:sz w:val="18"/>
          <w:szCs w:val="18"/>
        </w:rPr>
        <w:t xml:space="preserve"> w uzasadnionych przypadkach</w:t>
      </w:r>
      <w:r w:rsidR="00CB26C4" w:rsidRPr="00696AC6">
        <w:rPr>
          <w:rFonts w:ascii="Arial" w:eastAsia="Garamond,Bold" w:hAnsi="Arial" w:cs="Arial"/>
          <w:sz w:val="18"/>
          <w:szCs w:val="18"/>
        </w:rPr>
        <w:t>,</w:t>
      </w:r>
      <w:r w:rsidRPr="00696AC6">
        <w:rPr>
          <w:rFonts w:ascii="Arial" w:eastAsia="Garamond,Bold" w:hAnsi="Arial" w:cs="Arial"/>
          <w:sz w:val="18"/>
          <w:szCs w:val="18"/>
        </w:rPr>
        <w:t xml:space="preserve"> po uzgodnieniu w PWiK</w:t>
      </w:r>
      <w:r w:rsidR="00CB26C4" w:rsidRPr="00696AC6">
        <w:rPr>
          <w:rFonts w:ascii="Arial" w:eastAsia="Garamond,Bold" w:hAnsi="Arial" w:cs="Arial"/>
          <w:sz w:val="18"/>
          <w:szCs w:val="18"/>
        </w:rPr>
        <w:t xml:space="preserve"> w </w:t>
      </w:r>
      <w:r w:rsidRPr="00696AC6">
        <w:rPr>
          <w:rFonts w:ascii="Arial" w:eastAsia="Garamond,Bold" w:hAnsi="Arial" w:cs="Arial"/>
          <w:sz w:val="18"/>
          <w:szCs w:val="18"/>
        </w:rPr>
        <w:t>Śrem</w:t>
      </w:r>
      <w:r w:rsidR="00CB26C4" w:rsidRPr="00696AC6">
        <w:rPr>
          <w:rFonts w:ascii="Arial" w:eastAsia="Garamond,Bold" w:hAnsi="Arial" w:cs="Arial"/>
          <w:sz w:val="18"/>
          <w:szCs w:val="18"/>
        </w:rPr>
        <w:t>ie</w:t>
      </w:r>
      <w:r w:rsidRPr="00696AC6">
        <w:rPr>
          <w:rFonts w:ascii="Arial" w:eastAsia="Garamond,Bold" w:hAnsi="Arial" w:cs="Arial"/>
          <w:sz w:val="18"/>
          <w:szCs w:val="18"/>
        </w:rPr>
        <w:t xml:space="preserve"> na etapie </w:t>
      </w:r>
      <w:r w:rsidR="00CB26C4" w:rsidRPr="00696AC6">
        <w:rPr>
          <w:rFonts w:ascii="Arial" w:eastAsia="Garamond,Bold" w:hAnsi="Arial" w:cs="Arial"/>
          <w:sz w:val="18"/>
          <w:szCs w:val="18"/>
        </w:rPr>
        <w:t xml:space="preserve">wstępnym projektowania, o wytrzymałości określonej na podstawie obliczeń. </w:t>
      </w:r>
    </w:p>
    <w:p w:rsidR="003C2126" w:rsidRPr="00696AC6" w:rsidRDefault="003C2126" w:rsidP="005056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Rury kamionkowe</w:t>
      </w:r>
    </w:p>
    <w:p w:rsidR="003C2126" w:rsidRPr="00696AC6" w:rsidRDefault="003C2126" w:rsidP="00505631">
      <w:pPr>
        <w:pStyle w:val="Akapitzlist"/>
        <w:autoSpaceDE w:val="0"/>
        <w:autoSpaceDN w:val="0"/>
        <w:adjustRightInd w:val="0"/>
        <w:spacing w:after="120" w:line="300" w:lineRule="atLeast"/>
        <w:ind w:left="99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Rury kamionkowe kielichowe, ze zintegrowaną uszczelką z elastomeru w kielichu (system połączeń F) lub ze zintegrowaną uszczelką poliuretanową lub gumowo-polistyrenową na końcu rury i wewnąt</w:t>
      </w:r>
      <w:r w:rsidR="005776FE" w:rsidRPr="00696AC6">
        <w:rPr>
          <w:rFonts w:ascii="Arial" w:eastAsia="Garamond,Bold" w:hAnsi="Arial" w:cs="Arial"/>
          <w:sz w:val="18"/>
          <w:szCs w:val="18"/>
        </w:rPr>
        <w:t>rz kielicha (system połączeń C) winny charakteryzować się w</w:t>
      </w:r>
      <w:r w:rsidRPr="00696AC6">
        <w:rPr>
          <w:rFonts w:ascii="Arial" w:eastAsia="Garamond,Bold" w:hAnsi="Arial" w:cs="Arial"/>
          <w:sz w:val="18"/>
          <w:szCs w:val="18"/>
        </w:rPr>
        <w:t>spółczynnik</w:t>
      </w:r>
      <w:r w:rsidR="005776FE" w:rsidRPr="00696AC6">
        <w:rPr>
          <w:rFonts w:ascii="Arial" w:eastAsia="Garamond,Bold" w:hAnsi="Arial" w:cs="Arial"/>
          <w:sz w:val="18"/>
          <w:szCs w:val="18"/>
        </w:rPr>
        <w:t>iem</w:t>
      </w:r>
      <w:r w:rsidRPr="00696AC6">
        <w:rPr>
          <w:rFonts w:ascii="Arial" w:eastAsia="Garamond,Bold" w:hAnsi="Arial" w:cs="Arial"/>
          <w:sz w:val="18"/>
          <w:szCs w:val="18"/>
        </w:rPr>
        <w:t xml:space="preserve"> chropowatości nie większy</w:t>
      </w:r>
      <w:r w:rsidR="005776FE" w:rsidRPr="00696AC6">
        <w:rPr>
          <w:rFonts w:ascii="Arial" w:eastAsia="Garamond,Bold" w:hAnsi="Arial" w:cs="Arial"/>
          <w:sz w:val="18"/>
          <w:szCs w:val="18"/>
        </w:rPr>
        <w:t>m niż k</w:t>
      </w:r>
      <w:proofErr w:type="gramStart"/>
      <w:r w:rsidR="005776FE" w:rsidRPr="00696AC6">
        <w:rPr>
          <w:rFonts w:ascii="Arial" w:eastAsia="Garamond,Bold" w:hAnsi="Arial" w:cs="Arial"/>
          <w:sz w:val="18"/>
          <w:szCs w:val="18"/>
        </w:rPr>
        <w:t>=0,05 mm</w:t>
      </w:r>
      <w:proofErr w:type="gramEnd"/>
      <w:r w:rsidR="005776FE" w:rsidRPr="00696AC6">
        <w:rPr>
          <w:rFonts w:ascii="Arial" w:eastAsia="Garamond,Bold" w:hAnsi="Arial" w:cs="Arial"/>
          <w:sz w:val="18"/>
          <w:szCs w:val="18"/>
        </w:rPr>
        <w:t xml:space="preserve"> i</w:t>
      </w:r>
      <w:r w:rsidRPr="00696AC6">
        <w:rPr>
          <w:rFonts w:ascii="Arial" w:eastAsia="Garamond,Bold" w:hAnsi="Arial" w:cs="Arial"/>
          <w:sz w:val="18"/>
          <w:szCs w:val="18"/>
        </w:rPr>
        <w:t xml:space="preserve"> połączenia</w:t>
      </w:r>
      <w:r w:rsidR="005776FE" w:rsidRPr="00696AC6">
        <w:rPr>
          <w:rFonts w:ascii="Arial" w:eastAsia="Garamond,Bold" w:hAnsi="Arial" w:cs="Arial"/>
          <w:sz w:val="18"/>
          <w:szCs w:val="18"/>
        </w:rPr>
        <w:t>mi</w:t>
      </w:r>
      <w:r w:rsidRPr="00696AC6">
        <w:rPr>
          <w:rFonts w:ascii="Arial" w:eastAsia="Garamond,Bold" w:hAnsi="Arial" w:cs="Arial"/>
          <w:sz w:val="18"/>
          <w:szCs w:val="18"/>
        </w:rPr>
        <w:t xml:space="preserve"> zapewniając</w:t>
      </w:r>
      <w:r w:rsidR="005776FE" w:rsidRPr="00696AC6">
        <w:rPr>
          <w:rFonts w:ascii="Arial" w:eastAsia="Garamond,Bold" w:hAnsi="Arial" w:cs="Arial"/>
          <w:sz w:val="18"/>
          <w:szCs w:val="18"/>
        </w:rPr>
        <w:t>ymi</w:t>
      </w:r>
      <w:r w:rsidRPr="00696AC6">
        <w:rPr>
          <w:rFonts w:ascii="Arial" w:eastAsia="Garamond,Bold" w:hAnsi="Arial" w:cs="Arial"/>
          <w:sz w:val="18"/>
          <w:szCs w:val="18"/>
        </w:rPr>
        <w:t xml:space="preserve"> szczelność</w:t>
      </w:r>
      <w:r w:rsidR="005776FE" w:rsidRPr="00696AC6">
        <w:rPr>
          <w:rFonts w:ascii="Arial" w:eastAsia="Garamond,Bold" w:hAnsi="Arial" w:cs="Arial"/>
          <w:sz w:val="18"/>
          <w:szCs w:val="18"/>
        </w:rPr>
        <w:t xml:space="preserve"> przy ciśnieniu minimum</w:t>
      </w:r>
      <w:r w:rsidRPr="00696AC6">
        <w:rPr>
          <w:rFonts w:ascii="Arial" w:eastAsia="Garamond,Bold" w:hAnsi="Arial" w:cs="Arial"/>
          <w:sz w:val="18"/>
          <w:szCs w:val="18"/>
        </w:rPr>
        <w:t xml:space="preserve"> 0,5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bara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. Należy stosować rury kamionkowe o wytrzymałości mechanicznej na zgniatanie (nośność rury FN) właściwej dla danej średnicy, przy uwzględnieniu obliczeń wytrzymałościowych. Katalogowa wytrzymałość mechaniczna na zgniatanie zależy od klasy nośności (podstawowej, podwyższonej) dla danej średnicy rury.</w:t>
      </w:r>
    </w:p>
    <w:p w:rsidR="003C2126" w:rsidRPr="00696AC6" w:rsidRDefault="003C2126" w:rsidP="005056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Rury z żywic poliestrowych dla przepływu grawitacyjnego</w:t>
      </w:r>
    </w:p>
    <w:p w:rsidR="003C2126" w:rsidRPr="00696AC6" w:rsidRDefault="003C2126" w:rsidP="00505631">
      <w:pPr>
        <w:pStyle w:val="Akapitzlist"/>
        <w:autoSpaceDE w:val="0"/>
        <w:autoSpaceDN w:val="0"/>
        <w:adjustRightInd w:val="0"/>
        <w:spacing w:after="120" w:line="300" w:lineRule="atLeast"/>
        <w:ind w:left="99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Wyprodukowane zgodnie z normami [8] i [9], o sztywności obwodowej wg obliczeń wytrzymałościowych, lecz nie mniejszej niż 10000 N/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m2 , (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>SN ≥10000).</w:t>
      </w:r>
    </w:p>
    <w:p w:rsidR="003C2126" w:rsidRPr="00696AC6" w:rsidRDefault="003C2126" w:rsidP="005056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993" w:hanging="283"/>
        <w:jc w:val="both"/>
        <w:rPr>
          <w:rFonts w:ascii="Arial" w:eastAsia="Garamond,Bold" w:hAnsi="Arial" w:cs="Arial"/>
          <w:b/>
          <w:bCs/>
          <w:sz w:val="18"/>
          <w:szCs w:val="18"/>
          <w:lang w:eastAsia="pl-PL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  <w:lang w:eastAsia="pl-PL"/>
        </w:rPr>
        <w:t>Rury z polietylenu dla ci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>ś</w:t>
      </w:r>
      <w:r w:rsidRPr="00696AC6">
        <w:rPr>
          <w:rFonts w:ascii="Arial" w:eastAsia="Garamond,Bold" w:hAnsi="Arial" w:cs="Arial"/>
          <w:b/>
          <w:bCs/>
          <w:sz w:val="18"/>
          <w:szCs w:val="18"/>
          <w:lang w:eastAsia="pl-PL"/>
        </w:rPr>
        <w:t xml:space="preserve">nieniowego przepływu                     </w:t>
      </w:r>
    </w:p>
    <w:p w:rsidR="003C2126" w:rsidRPr="00696AC6" w:rsidRDefault="003C2126" w:rsidP="00505631">
      <w:pPr>
        <w:pStyle w:val="Akapitzlist"/>
        <w:autoSpaceDE w:val="0"/>
        <w:autoSpaceDN w:val="0"/>
        <w:adjustRightInd w:val="0"/>
        <w:spacing w:after="120" w:line="300" w:lineRule="atLeast"/>
        <w:ind w:left="99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Należy stosować rury z materiału PE100 lub PE 100RC o współczynniku SDR nie większym niż </w:t>
      </w:r>
      <w:r w:rsidR="00CD6565" w:rsidRPr="00696AC6">
        <w:rPr>
          <w:rFonts w:ascii="Arial" w:eastAsia="Garamond,Bold" w:hAnsi="Arial" w:cs="Arial"/>
          <w:sz w:val="18"/>
          <w:szCs w:val="18"/>
        </w:rPr>
        <w:t xml:space="preserve">SDR 17, </w:t>
      </w:r>
      <w:r w:rsidRPr="00696AC6">
        <w:rPr>
          <w:rFonts w:ascii="Arial" w:eastAsia="Garamond,Bold" w:hAnsi="Arial" w:cs="Arial"/>
          <w:sz w:val="18"/>
          <w:szCs w:val="18"/>
        </w:rPr>
        <w:t xml:space="preserve">na długości </w:t>
      </w:r>
      <w:r w:rsidR="00CD6565" w:rsidRPr="00696AC6">
        <w:rPr>
          <w:rFonts w:ascii="Arial" w:eastAsia="Garamond,Bold" w:hAnsi="Arial" w:cs="Arial"/>
          <w:sz w:val="18"/>
          <w:szCs w:val="18"/>
        </w:rPr>
        <w:t xml:space="preserve">łączone </w:t>
      </w:r>
      <w:r w:rsidRPr="00696AC6">
        <w:rPr>
          <w:rFonts w:ascii="Arial" w:eastAsia="Garamond,Bold" w:hAnsi="Arial" w:cs="Arial"/>
          <w:sz w:val="18"/>
          <w:szCs w:val="18"/>
        </w:rPr>
        <w:t>przez zgrzewan</w:t>
      </w:r>
      <w:r w:rsidR="00CD6565" w:rsidRPr="00696AC6">
        <w:rPr>
          <w:rFonts w:ascii="Arial" w:eastAsia="Garamond,Bold" w:hAnsi="Arial" w:cs="Arial"/>
          <w:sz w:val="18"/>
          <w:szCs w:val="18"/>
        </w:rPr>
        <w:t>ie doczołowe lub elektrooporowe a</w:t>
      </w:r>
      <w:r w:rsidRPr="00696AC6">
        <w:rPr>
          <w:rFonts w:ascii="Arial" w:eastAsia="Garamond,Bold" w:hAnsi="Arial" w:cs="Arial"/>
          <w:sz w:val="18"/>
          <w:szCs w:val="18"/>
        </w:rPr>
        <w:t xml:space="preserve"> w węzłach</w:t>
      </w:r>
      <w:r w:rsidR="00CD6565" w:rsidRPr="00696AC6">
        <w:rPr>
          <w:rFonts w:ascii="Arial" w:eastAsia="Garamond,Bold" w:hAnsi="Arial" w:cs="Arial"/>
          <w:sz w:val="18"/>
          <w:szCs w:val="18"/>
        </w:rPr>
        <w:t xml:space="preserve"> przez</w:t>
      </w:r>
      <w:r w:rsidRPr="00696AC6">
        <w:rPr>
          <w:rFonts w:ascii="Arial" w:eastAsia="Garamond,Bold" w:hAnsi="Arial" w:cs="Arial"/>
          <w:sz w:val="18"/>
          <w:szCs w:val="18"/>
        </w:rPr>
        <w:t xml:space="preserve"> połączenia kołnierzowe. Przy połączeniach kołnierzowych należy zastosować tuleje PE wraz z kołnierzem stalowym. Wymagane jest potwierdzenie parametrów każdego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zgrzewu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za pomocą odpowiedniego wydruku dołączonego do dokumentacji powykonawczej. W przypadku wykonywania sieci metodą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bezwykopową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należy zastosować rury wykonane w całości z materiału PE 100RC, zgodne ze specyfikacją PAS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1075:2009-04 (potwierdzoną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odpowiednim certyfikatem), przystosowane do zastosowanej tej technologii zabudowy</w:t>
      </w:r>
    </w:p>
    <w:p w:rsidR="003C2126" w:rsidRPr="00696AC6" w:rsidRDefault="003C2126" w:rsidP="005056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Cechowanie rur</w:t>
      </w:r>
    </w:p>
    <w:p w:rsidR="003C2126" w:rsidRPr="00696AC6" w:rsidRDefault="003C2126" w:rsidP="00505631">
      <w:pPr>
        <w:pStyle w:val="Akapitzlist"/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Wszystkie rury i kształtki powinny być oznakowane z zewnątrz w sposób czytelny i trwały.</w:t>
      </w:r>
      <w:r w:rsidR="00CD6565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Oznakowanie powinno zawierać następujące informacje:</w:t>
      </w:r>
    </w:p>
    <w:p w:rsidR="003C2126" w:rsidRPr="00696AC6" w:rsidRDefault="003C2126" w:rsidP="0050563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kod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producenta i/lub znak firmowy</w:t>
      </w:r>
      <w:r w:rsidR="00CD6565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CD6565" w:rsidP="0050563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rodzaj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surowca,</w:t>
      </w:r>
    </w:p>
    <w:p w:rsidR="003C2126" w:rsidRPr="00696AC6" w:rsidRDefault="003C2126" w:rsidP="0050563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wymiar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nominalny</w:t>
      </w:r>
      <w:r w:rsidR="00CD6565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445E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min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>. grubość ścianki lub SDR (dla rur tworzywowych)</w:t>
      </w:r>
      <w:r w:rsidR="00CD6565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445E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klasa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sztywności</w:t>
      </w:r>
      <w:r w:rsidR="00CD6565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445E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oznaczenie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klasy ciśnieniowej rury</w:t>
      </w:r>
      <w:r w:rsidR="00CD6565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445E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data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produkcji</w:t>
      </w:r>
      <w:r w:rsidR="00CD6565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445E1">
      <w:pPr>
        <w:pStyle w:val="Akapitzlist"/>
        <w:numPr>
          <w:ilvl w:val="0"/>
          <w:numId w:val="12"/>
        </w:numPr>
        <w:tabs>
          <w:tab w:val="clear" w:pos="1800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lastRenderedPageBreak/>
        <w:t xml:space="preserve">powołanie się na normę,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zgodnie z którą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zostały wyprodukowane</w:t>
      </w:r>
      <w:r w:rsidR="00CD6565" w:rsidRPr="00696AC6">
        <w:rPr>
          <w:rFonts w:ascii="Arial" w:eastAsia="Garamond,Bold" w:hAnsi="Arial" w:cs="Arial"/>
          <w:sz w:val="18"/>
          <w:szCs w:val="18"/>
        </w:rPr>
        <w:t>.</w:t>
      </w:r>
    </w:p>
    <w:p w:rsidR="003C2126" w:rsidRPr="00696AC6" w:rsidRDefault="003C2126" w:rsidP="00074F0A">
      <w:pPr>
        <w:pStyle w:val="Akapitzlist"/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bCs/>
          <w:sz w:val="18"/>
          <w:szCs w:val="18"/>
        </w:rPr>
      </w:pPr>
    </w:p>
    <w:p w:rsidR="003C2126" w:rsidRPr="00696AC6" w:rsidRDefault="003C2126" w:rsidP="009445E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300" w:lineRule="atLeast"/>
        <w:ind w:left="426" w:hanging="426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Studnie kanalizacyjne</w:t>
      </w:r>
    </w:p>
    <w:p w:rsidR="003C2126" w:rsidRPr="00696AC6" w:rsidRDefault="003C2126" w:rsidP="009445E1">
      <w:pPr>
        <w:pStyle w:val="Akapitzlist"/>
        <w:autoSpaceDE w:val="0"/>
        <w:autoSpaceDN w:val="0"/>
        <w:adjustRightInd w:val="0"/>
        <w:spacing w:after="120" w:line="300" w:lineRule="atLeast"/>
        <w:ind w:left="426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Studnie kanalizacyjne powinny spełniać wymagania normy [15]. Zgodnie z przyjętym podziałem i definicjami w/w normy wyróżnia się:</w:t>
      </w:r>
    </w:p>
    <w:p w:rsidR="003C2126" w:rsidRPr="00696AC6" w:rsidRDefault="003C2126" w:rsidP="00470C5D">
      <w:pPr>
        <w:pStyle w:val="Akapitzlist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120" w:line="300" w:lineRule="atLeast"/>
        <w:ind w:left="709" w:hanging="28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studzienki włazowe o średnicach ≥ 1000 mm przystosowane do wchodzenia</w:t>
      </w:r>
      <w:r w:rsidR="00470C5D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i </w:t>
      </w:r>
      <w:r w:rsidR="00470C5D" w:rsidRPr="00696AC6">
        <w:rPr>
          <w:rFonts w:ascii="Arial" w:eastAsia="Garamond,Bold" w:hAnsi="Arial" w:cs="Arial"/>
          <w:sz w:val="18"/>
          <w:szCs w:val="18"/>
        </w:rPr>
        <w:t xml:space="preserve">wychodzenia </w:t>
      </w:r>
      <w:r w:rsidRPr="00696AC6">
        <w:rPr>
          <w:rFonts w:ascii="Arial" w:eastAsia="Garamond,Bold" w:hAnsi="Arial" w:cs="Arial"/>
          <w:sz w:val="18"/>
          <w:szCs w:val="18"/>
        </w:rPr>
        <w:t xml:space="preserve">powierzchni terenu w celu wykonania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czynności  ekspl</w:t>
      </w:r>
      <w:r w:rsidR="00470C5D" w:rsidRPr="00696AC6">
        <w:rPr>
          <w:rFonts w:ascii="Arial" w:eastAsia="Garamond,Bold" w:hAnsi="Arial" w:cs="Arial"/>
          <w:sz w:val="18"/>
          <w:szCs w:val="18"/>
        </w:rPr>
        <w:t>o</w:t>
      </w:r>
      <w:r w:rsidRPr="00696AC6">
        <w:rPr>
          <w:rFonts w:ascii="Arial" w:eastAsia="Garamond,Bold" w:hAnsi="Arial" w:cs="Arial"/>
          <w:sz w:val="18"/>
          <w:szCs w:val="18"/>
        </w:rPr>
        <w:t>atacyjnych</w:t>
      </w:r>
      <w:proofErr w:type="gramEnd"/>
      <w:r w:rsidR="00470C5D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470C5D">
      <w:pPr>
        <w:pStyle w:val="Akapitzlist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120" w:line="300" w:lineRule="atLeast"/>
        <w:ind w:left="709" w:hanging="283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studzienki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niewłazowe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(inspekcyjne) o średnicach &lt; 1000mm służące do</w:t>
      </w:r>
      <w:r w:rsidR="00470C5D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wykonywania czynności eksploatacyjnych z powierzchni terenu</w:t>
      </w:r>
      <w:r w:rsidR="00470C5D" w:rsidRPr="00696AC6">
        <w:rPr>
          <w:rFonts w:ascii="Arial" w:eastAsia="Garamond,Bold" w:hAnsi="Arial" w:cs="Arial"/>
          <w:sz w:val="18"/>
          <w:szCs w:val="18"/>
        </w:rPr>
        <w:t>.</w:t>
      </w:r>
    </w:p>
    <w:p w:rsidR="003C2126" w:rsidRPr="00696AC6" w:rsidRDefault="00470C5D" w:rsidP="00470C5D">
      <w:pPr>
        <w:pStyle w:val="Akapitzlist"/>
        <w:autoSpaceDE w:val="0"/>
        <w:autoSpaceDN w:val="0"/>
        <w:adjustRightInd w:val="0"/>
        <w:spacing w:after="120" w:line="300" w:lineRule="atLeast"/>
        <w:ind w:left="0" w:firstLine="426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Podział  ze</w:t>
      </w:r>
      <w:proofErr w:type="gramEnd"/>
      <w:r w:rsidR="003C2126" w:rsidRPr="00696AC6">
        <w:rPr>
          <w:rFonts w:ascii="Arial" w:eastAsia="Garamond,Bold" w:hAnsi="Arial" w:cs="Arial"/>
          <w:sz w:val="18"/>
          <w:szCs w:val="18"/>
        </w:rPr>
        <w:t xml:space="preserve"> względu na sposób wykonania studzienek </w:t>
      </w:r>
      <w:r w:rsidRPr="00696AC6">
        <w:rPr>
          <w:rFonts w:ascii="Arial" w:eastAsia="Garamond,Bold" w:hAnsi="Arial" w:cs="Arial"/>
          <w:sz w:val="18"/>
          <w:szCs w:val="18"/>
        </w:rPr>
        <w:t xml:space="preserve">jest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nasępujący</w:t>
      </w:r>
      <w:proofErr w:type="spellEnd"/>
      <w:r w:rsidR="003C2126" w:rsidRPr="00696AC6">
        <w:rPr>
          <w:rFonts w:ascii="Arial" w:eastAsia="Garamond,Bold" w:hAnsi="Arial" w:cs="Arial"/>
          <w:sz w:val="18"/>
          <w:szCs w:val="18"/>
        </w:rPr>
        <w:t>:</w:t>
      </w:r>
    </w:p>
    <w:p w:rsidR="003C2126" w:rsidRPr="00696AC6" w:rsidRDefault="003C2126" w:rsidP="00470C5D">
      <w:pPr>
        <w:pStyle w:val="Akapitzlist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120" w:line="300" w:lineRule="atLeast"/>
        <w:ind w:left="709" w:hanging="283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prefabrykowane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– studzienka, której komora robocza i komin włazowy są wykonane z</w:t>
      </w:r>
      <w:r w:rsidR="00470C5D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prefabrykatów</w:t>
      </w:r>
      <w:r w:rsidR="00470C5D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470C5D">
      <w:pPr>
        <w:pStyle w:val="Akapitzlist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120" w:line="300" w:lineRule="atLeast"/>
        <w:ind w:left="709" w:hanging="283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monolityczne – studzienka, której co najmniej komora robocza wykonana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jest jako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konstrukcja monolityczna</w:t>
      </w:r>
      <w:r w:rsidR="00470C5D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470C5D">
      <w:pPr>
        <w:pStyle w:val="Akapitzlist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120" w:line="300" w:lineRule="atLeast"/>
        <w:ind w:left="709" w:hanging="283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murowane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– studzienka, której komora robocza jest wykonana z cegły</w:t>
      </w:r>
      <w:r w:rsidR="00470C5D" w:rsidRPr="00696AC6">
        <w:rPr>
          <w:rFonts w:ascii="Arial" w:eastAsia="Garamond,Bold" w:hAnsi="Arial" w:cs="Arial"/>
          <w:sz w:val="18"/>
          <w:szCs w:val="18"/>
        </w:rPr>
        <w:t>.</w:t>
      </w:r>
      <w:r w:rsidRPr="00696AC6">
        <w:rPr>
          <w:rFonts w:ascii="Arial" w:eastAsia="Garamond,Bold" w:hAnsi="Arial" w:cs="Arial"/>
          <w:sz w:val="18"/>
          <w:szCs w:val="18"/>
        </w:rPr>
        <w:t xml:space="preserve">  </w:t>
      </w:r>
    </w:p>
    <w:p w:rsidR="003C2126" w:rsidRPr="00696AC6" w:rsidRDefault="003C2126" w:rsidP="00470C5D">
      <w:pPr>
        <w:pStyle w:val="Akapitzlist"/>
        <w:autoSpaceDE w:val="0"/>
        <w:autoSpaceDN w:val="0"/>
        <w:adjustRightInd w:val="0"/>
        <w:spacing w:after="120" w:line="300" w:lineRule="atLeast"/>
        <w:ind w:left="426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Przejścia kanałów przez ścianki studni należy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wykonać jako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szczelne w stopniu uniemożliwiającym infiltrację wody gruntowej i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eksfiltrację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ścieków. Przy wykonywaniu przejść trzeba mieć na uwadze zabezpieczenie kanału przed załamaniem przy różnym osiadaniu studzienki i kanału. </w:t>
      </w:r>
    </w:p>
    <w:p w:rsidR="00470C5D" w:rsidRPr="00696AC6" w:rsidRDefault="00470C5D" w:rsidP="00074F0A">
      <w:pPr>
        <w:pStyle w:val="Akapitzlist"/>
        <w:autoSpaceDE w:val="0"/>
        <w:autoSpaceDN w:val="0"/>
        <w:adjustRightInd w:val="0"/>
        <w:spacing w:after="120" w:line="300" w:lineRule="atLeast"/>
        <w:ind w:left="0"/>
        <w:jc w:val="both"/>
        <w:rPr>
          <w:rFonts w:ascii="Arial" w:eastAsia="Garamond,Bold" w:hAnsi="Arial" w:cs="Arial"/>
          <w:b/>
          <w:bCs/>
          <w:sz w:val="18"/>
          <w:szCs w:val="18"/>
        </w:rPr>
      </w:pPr>
    </w:p>
    <w:p w:rsidR="003C2126" w:rsidRPr="00696AC6" w:rsidRDefault="003C2126" w:rsidP="00696AC6">
      <w:pPr>
        <w:pStyle w:val="Akapitzlist"/>
        <w:autoSpaceDE w:val="0"/>
        <w:autoSpaceDN w:val="0"/>
        <w:adjustRightInd w:val="0"/>
        <w:spacing w:after="120" w:line="300" w:lineRule="atLeast"/>
        <w:ind w:left="1560" w:hanging="113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Tabela nr 1 </w:t>
      </w:r>
      <w:r w:rsidR="00696AC6">
        <w:rPr>
          <w:rFonts w:ascii="Arial" w:eastAsia="Garamond,Bold" w:hAnsi="Arial" w:cs="Arial"/>
          <w:sz w:val="18"/>
          <w:szCs w:val="18"/>
        </w:rPr>
        <w:t>Z</w:t>
      </w:r>
      <w:bookmarkStart w:id="0" w:name="_GoBack"/>
      <w:bookmarkEnd w:id="0"/>
      <w:r w:rsidRPr="00696AC6">
        <w:rPr>
          <w:rFonts w:ascii="Arial" w:eastAsia="Garamond,Bold" w:hAnsi="Arial" w:cs="Arial"/>
          <w:sz w:val="18"/>
          <w:szCs w:val="18"/>
        </w:rPr>
        <w:t>estawienie studni w zależności od średnicy i materiału, z którego mogą być wykonane.</w:t>
      </w:r>
    </w:p>
    <w:tbl>
      <w:tblPr>
        <w:tblStyle w:val="Tabela-Siatka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3425"/>
        <w:gridCol w:w="5223"/>
      </w:tblGrid>
      <w:tr w:rsidR="003C2126" w:rsidRPr="00696AC6" w:rsidTr="00470C5D">
        <w:tc>
          <w:tcPr>
            <w:tcW w:w="3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0"/>
              <w:jc w:val="center"/>
              <w:rPr>
                <w:rFonts w:ascii="Arial" w:eastAsia="Garamond,Bold" w:hAnsi="Arial" w:cs="Arial"/>
                <w:b/>
                <w:i/>
                <w:sz w:val="18"/>
                <w:szCs w:val="18"/>
              </w:rPr>
            </w:pPr>
            <w:r w:rsidRPr="00696AC6">
              <w:rPr>
                <w:rFonts w:ascii="Arial" w:eastAsia="Garamond,Bold" w:hAnsi="Arial" w:cs="Arial"/>
                <w:b/>
                <w:i/>
                <w:sz w:val="18"/>
                <w:szCs w:val="18"/>
              </w:rPr>
              <w:t>Średnica studni</w:t>
            </w:r>
          </w:p>
        </w:tc>
        <w:tc>
          <w:tcPr>
            <w:tcW w:w="52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920"/>
              <w:jc w:val="center"/>
              <w:rPr>
                <w:rFonts w:ascii="Arial" w:eastAsia="Garamond,Bold" w:hAnsi="Arial" w:cs="Arial"/>
                <w:b/>
                <w:i/>
                <w:sz w:val="18"/>
                <w:szCs w:val="18"/>
              </w:rPr>
            </w:pPr>
            <w:r w:rsidRPr="00696AC6">
              <w:rPr>
                <w:rFonts w:ascii="Arial" w:eastAsia="Garamond,Bold" w:hAnsi="Arial" w:cs="Arial"/>
                <w:b/>
                <w:i/>
                <w:sz w:val="18"/>
                <w:szCs w:val="18"/>
              </w:rPr>
              <w:t>Materiał</w:t>
            </w:r>
          </w:p>
        </w:tc>
      </w:tr>
      <w:tr w:rsidR="003C2126" w:rsidRPr="00696AC6" w:rsidTr="00470C5D">
        <w:tc>
          <w:tcPr>
            <w:tcW w:w="3425" w:type="dxa"/>
            <w:tcBorders>
              <w:top w:val="double" w:sz="4" w:space="0" w:color="auto"/>
            </w:tcBorders>
          </w:tcPr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0"/>
              <w:jc w:val="center"/>
              <w:rPr>
                <w:rFonts w:ascii="Arial" w:eastAsia="Garamond,Bold" w:hAnsi="Arial" w:cs="Arial"/>
                <w:sz w:val="18"/>
                <w:szCs w:val="18"/>
              </w:rPr>
            </w:pPr>
            <w:r w:rsidRPr="00696AC6">
              <w:rPr>
                <w:rFonts w:ascii="Arial" w:eastAsia="Garamond,Bold" w:hAnsi="Arial" w:cs="Arial"/>
                <w:sz w:val="18"/>
                <w:szCs w:val="18"/>
              </w:rPr>
              <w:t>DN 600 mm</w:t>
            </w:r>
          </w:p>
        </w:tc>
        <w:tc>
          <w:tcPr>
            <w:tcW w:w="5223" w:type="dxa"/>
            <w:tcBorders>
              <w:top w:val="double" w:sz="4" w:space="0" w:color="auto"/>
            </w:tcBorders>
          </w:tcPr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1070"/>
              <w:jc w:val="center"/>
              <w:rPr>
                <w:rFonts w:ascii="Arial" w:eastAsia="Garamond,Bold" w:hAnsi="Arial" w:cs="Arial"/>
                <w:sz w:val="18"/>
                <w:szCs w:val="18"/>
              </w:rPr>
            </w:pPr>
            <w:r w:rsidRPr="00696AC6">
              <w:rPr>
                <w:rFonts w:ascii="Arial" w:eastAsia="Garamond,Bold" w:hAnsi="Arial" w:cs="Arial"/>
                <w:sz w:val="18"/>
                <w:szCs w:val="18"/>
              </w:rPr>
              <w:t>PE i PP</w:t>
            </w:r>
          </w:p>
        </w:tc>
      </w:tr>
      <w:tr w:rsidR="003C2126" w:rsidRPr="00696AC6" w:rsidTr="00470C5D">
        <w:trPr>
          <w:trHeight w:val="850"/>
        </w:trPr>
        <w:tc>
          <w:tcPr>
            <w:tcW w:w="3425" w:type="dxa"/>
            <w:vAlign w:val="center"/>
          </w:tcPr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0"/>
              <w:jc w:val="center"/>
              <w:rPr>
                <w:rFonts w:ascii="Arial" w:eastAsia="Garamond,Bold" w:hAnsi="Arial" w:cs="Arial"/>
                <w:sz w:val="18"/>
                <w:szCs w:val="18"/>
              </w:rPr>
            </w:pPr>
            <w:r w:rsidRPr="00696AC6">
              <w:rPr>
                <w:rFonts w:ascii="Arial" w:eastAsia="Garamond,Bold" w:hAnsi="Arial" w:cs="Arial"/>
                <w:sz w:val="18"/>
                <w:szCs w:val="18"/>
              </w:rPr>
              <w:t>DN 1000 mm</w:t>
            </w:r>
          </w:p>
        </w:tc>
        <w:tc>
          <w:tcPr>
            <w:tcW w:w="5223" w:type="dxa"/>
          </w:tcPr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1010"/>
              <w:jc w:val="center"/>
              <w:rPr>
                <w:rFonts w:ascii="Arial" w:eastAsia="Garamond,Bold" w:hAnsi="Arial" w:cs="Arial"/>
                <w:sz w:val="18"/>
                <w:szCs w:val="18"/>
              </w:rPr>
            </w:pPr>
            <w:r w:rsidRPr="00696AC6">
              <w:rPr>
                <w:rFonts w:ascii="Arial" w:eastAsia="Garamond,Bold" w:hAnsi="Arial" w:cs="Arial"/>
                <w:sz w:val="18"/>
                <w:szCs w:val="18"/>
              </w:rPr>
              <w:t>PE, PP, betonowe, żelbetowe,</w:t>
            </w:r>
          </w:p>
          <w:p w:rsidR="003C2126" w:rsidRPr="00696AC6" w:rsidRDefault="003C2126" w:rsidP="00074F0A">
            <w:pPr>
              <w:pStyle w:val="Akapitzlist"/>
              <w:autoSpaceDE w:val="0"/>
              <w:autoSpaceDN w:val="0"/>
              <w:adjustRightInd w:val="0"/>
              <w:spacing w:after="120" w:line="300" w:lineRule="atLeast"/>
              <w:ind w:left="1040"/>
              <w:jc w:val="center"/>
              <w:rPr>
                <w:rFonts w:ascii="Arial" w:eastAsia="Garamond,Bold" w:hAnsi="Arial" w:cs="Arial"/>
                <w:sz w:val="18"/>
                <w:szCs w:val="18"/>
              </w:rPr>
            </w:pPr>
            <w:proofErr w:type="spellStart"/>
            <w:proofErr w:type="gramStart"/>
            <w:r w:rsidRPr="00696AC6">
              <w:rPr>
                <w:rFonts w:ascii="Arial" w:eastAsia="Garamond,Bold" w:hAnsi="Arial" w:cs="Arial"/>
                <w:sz w:val="18"/>
                <w:szCs w:val="18"/>
              </w:rPr>
              <w:t>polimerobeton</w:t>
            </w:r>
            <w:proofErr w:type="spellEnd"/>
            <w:proofErr w:type="gramEnd"/>
            <w:r w:rsidRPr="00696AC6">
              <w:rPr>
                <w:rFonts w:ascii="Arial" w:eastAsia="Garamond,Bold" w:hAnsi="Arial" w:cs="Arial"/>
                <w:sz w:val="18"/>
                <w:szCs w:val="18"/>
              </w:rPr>
              <w:t>, żywice poliestrowe</w:t>
            </w:r>
          </w:p>
        </w:tc>
      </w:tr>
    </w:tbl>
    <w:p w:rsidR="003C2126" w:rsidRPr="00696AC6" w:rsidRDefault="003C2126" w:rsidP="00074F0A">
      <w:pPr>
        <w:pStyle w:val="Akapitzlist"/>
        <w:tabs>
          <w:tab w:val="center" w:pos="4896"/>
        </w:tabs>
        <w:autoSpaceDE w:val="0"/>
        <w:autoSpaceDN w:val="0"/>
        <w:adjustRightInd w:val="0"/>
        <w:spacing w:after="120" w:line="300" w:lineRule="atLeast"/>
        <w:jc w:val="center"/>
        <w:rPr>
          <w:rFonts w:ascii="Arial" w:eastAsia="Garamond,Bold" w:hAnsi="Arial" w:cs="Arial"/>
          <w:b/>
          <w:bCs/>
          <w:sz w:val="18"/>
          <w:szCs w:val="18"/>
        </w:rPr>
      </w:pPr>
    </w:p>
    <w:p w:rsidR="003C2126" w:rsidRPr="00696AC6" w:rsidRDefault="003C2126" w:rsidP="00470C5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Studnie betonowe</w:t>
      </w:r>
    </w:p>
    <w:p w:rsidR="003C2126" w:rsidRPr="00696AC6" w:rsidRDefault="003C2126" w:rsidP="00470C5D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Studnie wykonane z elementów prefabrykowanych, na sieciach kanalizacji sanitarnej</w:t>
      </w:r>
      <w:r w:rsidR="00470C5D" w:rsidRPr="00696AC6">
        <w:rPr>
          <w:rFonts w:ascii="Arial" w:eastAsia="Garamond,Bold" w:hAnsi="Arial" w:cs="Arial"/>
          <w:sz w:val="18"/>
          <w:szCs w:val="18"/>
        </w:rPr>
        <w:t>,</w:t>
      </w:r>
      <w:r w:rsidRPr="00696AC6">
        <w:rPr>
          <w:rFonts w:ascii="Arial" w:eastAsia="Garamond,Bold" w:hAnsi="Arial" w:cs="Arial"/>
          <w:sz w:val="18"/>
          <w:szCs w:val="18"/>
        </w:rPr>
        <w:t xml:space="preserve"> należy posadowić na wypoziomowanej płycie żelbetowej, z betonu C 12/15 o grubości min. 10÷15</w:t>
      </w:r>
      <w:r w:rsidR="00470C5D" w:rsidRPr="00696AC6">
        <w:rPr>
          <w:rFonts w:ascii="Arial" w:eastAsia="Garamond,Bold" w:hAnsi="Arial" w:cs="Arial"/>
          <w:sz w:val="18"/>
          <w:szCs w:val="18"/>
        </w:rPr>
        <w:t xml:space="preserve">cm i </w:t>
      </w:r>
      <w:r w:rsidRPr="00696AC6">
        <w:rPr>
          <w:rFonts w:ascii="Arial" w:eastAsia="Garamond,Bold" w:hAnsi="Arial" w:cs="Arial"/>
          <w:sz w:val="18"/>
          <w:szCs w:val="18"/>
        </w:rPr>
        <w:t>średnicy min.</w:t>
      </w:r>
      <w:r w:rsidR="00470C5D" w:rsidRPr="00696AC6">
        <w:rPr>
          <w:rFonts w:ascii="Arial" w:eastAsia="Garamond,Bold" w:hAnsi="Arial" w:cs="Arial"/>
          <w:sz w:val="18"/>
          <w:szCs w:val="18"/>
        </w:rPr>
        <w:t xml:space="preserve"> o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0,10m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większej niż średnica zewnętrzna kręgu betonowego. Płytę należy wykonać w odwodnionym wykopie, na odpowiednio przygotowanym gruncie rodzimym lub właściwie zagęszczonej podsypce piaskowej – zależnie od warunków gruntowo-wodnych.</w:t>
      </w:r>
    </w:p>
    <w:p w:rsidR="003C2126" w:rsidRPr="00696AC6" w:rsidRDefault="003C2126" w:rsidP="00470C5D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Wymagane właściwości betonu podano w punk</w:t>
      </w:r>
      <w:r w:rsidR="009847D3" w:rsidRPr="00696AC6">
        <w:rPr>
          <w:rFonts w:ascii="Arial" w:eastAsia="Garamond,Bold" w:hAnsi="Arial" w:cs="Arial"/>
          <w:sz w:val="18"/>
          <w:szCs w:val="18"/>
        </w:rPr>
        <w:t>t.</w:t>
      </w:r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="001223BF" w:rsidRPr="00696AC6">
        <w:rPr>
          <w:rFonts w:ascii="Arial" w:eastAsia="Garamond,Bold" w:hAnsi="Arial" w:cs="Arial"/>
          <w:sz w:val="18"/>
          <w:szCs w:val="18"/>
        </w:rPr>
        <w:t>IV</w:t>
      </w:r>
      <w:r w:rsidRPr="00696AC6">
        <w:rPr>
          <w:rFonts w:ascii="Arial" w:eastAsia="Garamond,Bold" w:hAnsi="Arial" w:cs="Arial"/>
          <w:sz w:val="18"/>
          <w:szCs w:val="18"/>
        </w:rPr>
        <w:t>. Studnia składa się z komory roboczej i dna - jako elementu prefabrykowanego, stanowiącego monolityczne połączenie kręgu i płyty dennej. W prefabrykowanym elemencie dna studzienki powinno być</w:t>
      </w:r>
      <w:r w:rsidR="009847D3" w:rsidRPr="00696AC6">
        <w:rPr>
          <w:rFonts w:ascii="Arial" w:eastAsia="Garamond,Bold" w:hAnsi="Arial" w:cs="Arial"/>
          <w:sz w:val="18"/>
          <w:szCs w:val="18"/>
        </w:rPr>
        <w:t>,</w:t>
      </w:r>
      <w:r w:rsidRPr="00696AC6">
        <w:rPr>
          <w:rFonts w:ascii="Arial" w:eastAsia="Garamond,Bold" w:hAnsi="Arial" w:cs="Arial"/>
          <w:sz w:val="18"/>
          <w:szCs w:val="18"/>
        </w:rPr>
        <w:t xml:space="preserve"> odpowiednio do kształtu kanału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, </w:t>
      </w:r>
      <w:r w:rsidRPr="00696AC6">
        <w:rPr>
          <w:rFonts w:ascii="Arial" w:eastAsia="Garamond,Bold" w:hAnsi="Arial" w:cs="Arial"/>
          <w:sz w:val="18"/>
          <w:szCs w:val="18"/>
        </w:rPr>
        <w:t>wykonane fabrycznie wyprofilowane koryto (kineta), przeznaczone do przepływu ścieków.</w:t>
      </w:r>
    </w:p>
    <w:p w:rsidR="003C2126" w:rsidRPr="00696AC6" w:rsidRDefault="003C2126" w:rsidP="009847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Włazy kanałowe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Właz kanalizacyjny stanowi zwieńczenie studni kanalizacyjn</w:t>
      </w:r>
      <w:r w:rsidR="009847D3" w:rsidRPr="00696AC6">
        <w:rPr>
          <w:rFonts w:ascii="Arial" w:eastAsia="Garamond,Bold" w:hAnsi="Arial" w:cs="Arial"/>
          <w:sz w:val="18"/>
          <w:szCs w:val="18"/>
        </w:rPr>
        <w:t>ej</w:t>
      </w:r>
      <w:r w:rsidRPr="00696AC6">
        <w:rPr>
          <w:rFonts w:ascii="Arial" w:eastAsia="Garamond,Bold" w:hAnsi="Arial" w:cs="Arial"/>
          <w:sz w:val="18"/>
          <w:szCs w:val="18"/>
        </w:rPr>
        <w:t>. Należy stosować włazy kana</w:t>
      </w:r>
      <w:r w:rsidR="009847D3" w:rsidRPr="00696AC6">
        <w:rPr>
          <w:rFonts w:ascii="Arial" w:eastAsia="Garamond,Bold" w:hAnsi="Arial" w:cs="Arial"/>
          <w:sz w:val="18"/>
          <w:szCs w:val="18"/>
        </w:rPr>
        <w:t>łowe okrągłe</w:t>
      </w:r>
      <w:r w:rsidRPr="00696AC6">
        <w:rPr>
          <w:rFonts w:ascii="Arial" w:eastAsia="Garamond,Bold" w:hAnsi="Arial" w:cs="Arial"/>
          <w:sz w:val="18"/>
          <w:szCs w:val="18"/>
        </w:rPr>
        <w:t xml:space="preserve"> o średnicy DN 600</w:t>
      </w:r>
      <w:r w:rsidR="009847D3" w:rsidRPr="00696AC6">
        <w:rPr>
          <w:rFonts w:ascii="Arial" w:eastAsia="Garamond,Bold" w:hAnsi="Arial" w:cs="Arial"/>
          <w:sz w:val="18"/>
          <w:szCs w:val="18"/>
        </w:rPr>
        <w:t>mm, klasy wg normy [19]. K</w:t>
      </w:r>
      <w:r w:rsidRPr="00696AC6">
        <w:rPr>
          <w:rFonts w:ascii="Arial" w:eastAsia="Garamond,Bold" w:hAnsi="Arial" w:cs="Arial"/>
          <w:sz w:val="18"/>
          <w:szCs w:val="18"/>
        </w:rPr>
        <w:t xml:space="preserve">orpus żeliwa o wysokości min. 140mm, pokrywa wypełniona betonem klasy C 35/45. </w:t>
      </w:r>
      <w:r w:rsidR="009847D3" w:rsidRPr="00696AC6">
        <w:rPr>
          <w:rFonts w:ascii="Arial" w:eastAsia="Garamond,Bold" w:hAnsi="Arial" w:cs="Arial"/>
          <w:sz w:val="18"/>
          <w:szCs w:val="18"/>
        </w:rPr>
        <w:t>Rama oraz pokrywa powinny być mechanicznie obrabiane</w:t>
      </w:r>
      <w:r w:rsidRPr="00696AC6">
        <w:rPr>
          <w:rFonts w:ascii="Arial" w:eastAsia="Garamond,Bold" w:hAnsi="Arial" w:cs="Arial"/>
          <w:sz w:val="18"/>
          <w:szCs w:val="18"/>
        </w:rPr>
        <w:t xml:space="preserve"> – </w:t>
      </w:r>
      <w:r w:rsidRPr="00696AC6">
        <w:rPr>
          <w:rFonts w:ascii="Arial" w:eastAsia="Garamond,Bold" w:hAnsi="Arial" w:cs="Arial"/>
          <w:sz w:val="18"/>
          <w:szCs w:val="18"/>
        </w:rPr>
        <w:lastRenderedPageBreak/>
        <w:t>przetłaczan</w:t>
      </w:r>
      <w:r w:rsidR="009847D3" w:rsidRPr="00696AC6">
        <w:rPr>
          <w:rFonts w:ascii="Arial" w:eastAsia="Garamond,Bold" w:hAnsi="Arial" w:cs="Arial"/>
          <w:sz w:val="18"/>
          <w:szCs w:val="18"/>
        </w:rPr>
        <w:t>e</w:t>
      </w:r>
      <w:r w:rsidRPr="00696AC6">
        <w:rPr>
          <w:rFonts w:ascii="Arial" w:eastAsia="Garamond,Bold" w:hAnsi="Arial" w:cs="Arial"/>
          <w:sz w:val="18"/>
          <w:szCs w:val="18"/>
        </w:rPr>
        <w:t xml:space="preserve">. Dla kanalizacji sanitarnej należy projektować włazy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nie wentylowane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w pasach drogi oraz z pokrywą z wentylacją w terenach zielonych, poza obszarem zabudowanym. Do regulacji wysokości osadzenia włazu stosować prefab</w:t>
      </w:r>
      <w:r w:rsidR="009847D3" w:rsidRPr="00696AC6">
        <w:rPr>
          <w:rFonts w:ascii="Arial" w:eastAsia="Garamond,Bold" w:hAnsi="Arial" w:cs="Arial"/>
          <w:sz w:val="18"/>
          <w:szCs w:val="18"/>
        </w:rPr>
        <w:t>rykowane pierścienie dystansowe</w:t>
      </w:r>
      <w:r w:rsidRPr="00696AC6">
        <w:rPr>
          <w:rFonts w:ascii="Arial" w:eastAsia="Garamond,Bold" w:hAnsi="Arial" w:cs="Arial"/>
          <w:sz w:val="18"/>
          <w:szCs w:val="18"/>
        </w:rPr>
        <w:t xml:space="preserve"> z betonu o parametrach jak kręgi betonowe. W terenie o nawierzchni nieutwardzonej, włazy kanałowe należy obetonować wraz z pierścieniem betonowym, o średnicy o 50cm większej od średnicy włazu (stosować beton min. klasy C 16/20). Zwieńczenia włazów kanałowych muszą spełniać wymagania normy [19] określającej grupy i klasy wytrzymałości z podziałem na klasy. Odpowiednie klasy stosuje się zależnie od miejsca zabudowy.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Grupa 1</w:t>
      </w:r>
      <w:r w:rsidRPr="00696AC6">
        <w:rPr>
          <w:rFonts w:ascii="Arial" w:eastAsia="Garamond,Bold" w:hAnsi="Arial" w:cs="Arial"/>
          <w:sz w:val="18"/>
          <w:szCs w:val="18"/>
        </w:rPr>
        <w:t xml:space="preserve"> (min klasa A 15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– obciążenie badawcze 15 </w:t>
      </w:r>
      <w:proofErr w:type="spellStart"/>
      <w:r w:rsidR="009847D3"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 - powierzchnie przeznaczone wyłącznie dla pieszych i rowerzystów</w:t>
      </w:r>
      <w:r w:rsidR="009847D3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Grupa 2</w:t>
      </w:r>
      <w:r w:rsidRPr="00696AC6">
        <w:rPr>
          <w:rFonts w:ascii="Arial" w:eastAsia="Garamond,Bold" w:hAnsi="Arial" w:cs="Arial"/>
          <w:sz w:val="18"/>
          <w:szCs w:val="18"/>
        </w:rPr>
        <w:t xml:space="preserve"> (min klasa B 125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– obciążenie badawcze 125 </w:t>
      </w:r>
      <w:proofErr w:type="spellStart"/>
      <w:r w:rsidR="009847D3"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 - drogi i obszary dla pieszych, powierzchnie równorzędne,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parkingi lub tereny </w:t>
      </w:r>
      <w:r w:rsidR="009847D3" w:rsidRPr="00696AC6">
        <w:rPr>
          <w:rFonts w:ascii="Arial" w:eastAsia="Garamond,Bold" w:hAnsi="Arial" w:cs="Arial"/>
          <w:sz w:val="18"/>
          <w:szCs w:val="18"/>
        </w:rPr>
        <w:t>parkowania samochodów osobowych,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Grupa 3</w:t>
      </w:r>
      <w:r w:rsidRPr="00696AC6">
        <w:rPr>
          <w:rFonts w:ascii="Arial" w:eastAsia="Garamond,Bold" w:hAnsi="Arial" w:cs="Arial"/>
          <w:sz w:val="18"/>
          <w:szCs w:val="18"/>
        </w:rPr>
        <w:t xml:space="preserve"> (min klasa C 250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– obciążenie badawcze 250 </w:t>
      </w:r>
      <w:proofErr w:type="spellStart"/>
      <w:r w:rsidR="009847D3"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 - dla zwieńczeń wpustów ściekowych usytuowanych przy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krawężnikach</w:t>
      </w:r>
      <w:r w:rsidR="009847D3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Grupa 4</w:t>
      </w:r>
      <w:r w:rsidRPr="00696AC6">
        <w:rPr>
          <w:rFonts w:ascii="Arial" w:eastAsia="Garamond,Bold" w:hAnsi="Arial" w:cs="Arial"/>
          <w:sz w:val="18"/>
          <w:szCs w:val="18"/>
        </w:rPr>
        <w:t xml:space="preserve"> (min klasa D 400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– obciążenie badawcze 400 </w:t>
      </w:r>
      <w:proofErr w:type="spellStart"/>
      <w:r w:rsidR="009847D3"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 - jezdnie dróg, utwardzone pobocza oraz obszary parkingowe</w:t>
      </w:r>
      <w:r w:rsidR="009847D3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Grupa 5</w:t>
      </w:r>
      <w:r w:rsidRPr="00696AC6">
        <w:rPr>
          <w:rFonts w:ascii="Arial" w:eastAsia="Garamond,Bold" w:hAnsi="Arial" w:cs="Arial"/>
          <w:sz w:val="18"/>
          <w:szCs w:val="18"/>
        </w:rPr>
        <w:t xml:space="preserve"> (min klasa E 600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– obciążenie badawcze 600 </w:t>
      </w:r>
      <w:proofErr w:type="spellStart"/>
      <w:r w:rsidR="009847D3" w:rsidRPr="00696AC6">
        <w:rPr>
          <w:rFonts w:ascii="Arial" w:eastAsia="Garamond,Bold" w:hAnsi="Arial" w:cs="Arial"/>
          <w:sz w:val="18"/>
          <w:szCs w:val="18"/>
        </w:rPr>
        <w:t>kN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 - powierzchn</w:t>
      </w:r>
      <w:r w:rsidR="009847D3" w:rsidRPr="00696AC6">
        <w:rPr>
          <w:rFonts w:ascii="Arial" w:eastAsia="Garamond,Bold" w:hAnsi="Arial" w:cs="Arial"/>
          <w:sz w:val="18"/>
          <w:szCs w:val="18"/>
        </w:rPr>
        <w:t>ie poddane dużym naciskom.</w:t>
      </w:r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 uzupełnieniu grup przewidywalnych w normie [19] dla klasy D400, zaleca się uwzględnienie intensywności ruchu drogowego w celu dobrania optymalnego rozwiązania.</w:t>
      </w:r>
    </w:p>
    <w:p w:rsidR="003C2126" w:rsidRPr="00696AC6" w:rsidRDefault="003C2126" w:rsidP="009847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Stopnie </w:t>
      </w:r>
      <w:proofErr w:type="spellStart"/>
      <w:r w:rsidRPr="00696AC6">
        <w:rPr>
          <w:rFonts w:ascii="Arial" w:eastAsia="Garamond,Bold" w:hAnsi="Arial" w:cs="Arial"/>
          <w:b/>
          <w:bCs/>
          <w:sz w:val="18"/>
          <w:szCs w:val="18"/>
        </w:rPr>
        <w:t>złazowe</w:t>
      </w:r>
      <w:proofErr w:type="spellEnd"/>
    </w:p>
    <w:p w:rsidR="003C2126" w:rsidRPr="00696AC6" w:rsidRDefault="003C212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W studniach stosować stopnie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złazowe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kanałowe (klamry), dostępne w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handlu jako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produkt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spełniający wymogi normy DIN 1212E, zabezpieczone tworzywem przed poślizgiem,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rozmieszczone w pionie co 25 do 30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 [</w:t>
      </w:r>
      <w:r w:rsidRPr="00696AC6">
        <w:rPr>
          <w:rFonts w:ascii="Arial" w:eastAsia="Garamond,Bold" w:hAnsi="Arial" w:cs="Arial"/>
          <w:sz w:val="18"/>
          <w:szCs w:val="18"/>
        </w:rPr>
        <w:t>cm</w:t>
      </w:r>
      <w:r w:rsidR="009847D3" w:rsidRPr="00696AC6">
        <w:rPr>
          <w:rFonts w:ascii="Arial" w:eastAsia="Garamond,Bold" w:hAnsi="Arial" w:cs="Arial"/>
          <w:sz w:val="18"/>
          <w:szCs w:val="18"/>
        </w:rPr>
        <w:t>], w układzie drabinkowym</w:t>
      </w:r>
      <w:r w:rsidRPr="00696AC6">
        <w:rPr>
          <w:rFonts w:ascii="Arial" w:eastAsia="Garamond,Bold" w:hAnsi="Arial" w:cs="Arial"/>
          <w:sz w:val="18"/>
          <w:szCs w:val="18"/>
        </w:rPr>
        <w:t xml:space="preserve"> w odległości 15cm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od ściany studzienki.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Stopnie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włazowe (jako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klamry) mogą być również wykonane z prętów stalowych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="009847D3" w:rsidRPr="00696AC6">
        <w:rPr>
          <w:rFonts w:ascii="Arial" w:eastAsia="Garamond,Bold" w:hAnsi="Arial" w:cs="Arial"/>
          <w:sz w:val="18"/>
          <w:szCs w:val="18"/>
        </w:rPr>
        <w:t xml:space="preserve">ocynkowanych, o średnicy </w:t>
      </w:r>
      <w:r w:rsidRPr="00696AC6">
        <w:rPr>
          <w:rFonts w:ascii="Arial" w:eastAsia="Garamond,Bold" w:hAnsi="Arial" w:cs="Arial"/>
          <w:sz w:val="18"/>
          <w:szCs w:val="18"/>
        </w:rPr>
        <w:t>Φ30mm lub prętów stalowych, o średnicy Φ 30mm, pokrytych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tworzywem, o strukturze antypoślizgowej.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W zwężce studni, pod włazem, (ok. 10cm), należy montować tzw. poręcz chwytną, z pręta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stalowego ocynkowanego, pokryt</w:t>
      </w:r>
      <w:r w:rsidR="001223BF" w:rsidRPr="00696AC6">
        <w:rPr>
          <w:rFonts w:ascii="Arial" w:eastAsia="Garamond,Bold" w:hAnsi="Arial" w:cs="Arial"/>
          <w:sz w:val="18"/>
          <w:szCs w:val="18"/>
        </w:rPr>
        <w:t>ego</w:t>
      </w:r>
      <w:r w:rsidRPr="00696AC6">
        <w:rPr>
          <w:rFonts w:ascii="Arial" w:eastAsia="Garamond,Bold" w:hAnsi="Arial" w:cs="Arial"/>
          <w:sz w:val="18"/>
          <w:szCs w:val="18"/>
        </w:rPr>
        <w:t xml:space="preserve"> tworzywem o strukturze antypoślizgowej o średnicy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Φ 30mm - w odległości 7cm od ściany.</w:t>
      </w:r>
    </w:p>
    <w:p w:rsidR="00696AC6" w:rsidRPr="00696AC6" w:rsidRDefault="00696AC6" w:rsidP="009847D3">
      <w:pPr>
        <w:autoSpaceDE w:val="0"/>
        <w:autoSpaceDN w:val="0"/>
        <w:adjustRightInd w:val="0"/>
        <w:spacing w:after="120" w:line="300" w:lineRule="atLeast"/>
        <w:ind w:left="708"/>
        <w:jc w:val="both"/>
        <w:rPr>
          <w:rFonts w:ascii="Arial" w:eastAsia="Garamond,Bold" w:hAnsi="Arial" w:cs="Arial"/>
          <w:sz w:val="18"/>
          <w:szCs w:val="18"/>
        </w:rPr>
      </w:pPr>
    </w:p>
    <w:p w:rsidR="003C2126" w:rsidRPr="00696AC6" w:rsidRDefault="003C2126" w:rsidP="001223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300" w:lineRule="atLeast"/>
        <w:ind w:left="426" w:hanging="426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Wyroby betonowe – wymagane właściwości betonu</w:t>
      </w:r>
    </w:p>
    <w:p w:rsidR="003C2126" w:rsidRPr="00696AC6" w:rsidRDefault="003C2126" w:rsidP="001223BF">
      <w:pPr>
        <w:autoSpaceDE w:val="0"/>
        <w:autoSpaceDN w:val="0"/>
        <w:adjustRightInd w:val="0"/>
        <w:spacing w:after="120" w:line="300" w:lineRule="atLeast"/>
        <w:ind w:left="426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Prefabrykowane elementy betonowe i żelbetowe, stosowane do montażu studni i komór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rewizyjnych w kanalizacji, muszą być wyprodukowane z betonu dobranego w oparciu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o analizę warunków środowiska, w którym będą pracować (dotyczy to powierzchni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zewnętrznych i wewnętrznych).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Zgodnie z normą [20] wyróżnia się 7 klas ekspozycji ze względu na agresywne oddziaływanie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środowiska. Każda klasa dzieli się na 3 lub 4 podklasy, w zależności od intensywności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oddziaływania, w przypadku agresji chemicznej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i korozji wywołanej ścieraniem oraz</w:t>
      </w:r>
      <w:r w:rsidRPr="00696AC6">
        <w:rPr>
          <w:rFonts w:ascii="Arial" w:eastAsia="Garamond,Bold" w:hAnsi="Arial" w:cs="Arial"/>
          <w:sz w:val="18"/>
          <w:szCs w:val="18"/>
        </w:rPr>
        <w:t xml:space="preserve"> stopnia</w:t>
      </w:r>
      <w:r w:rsidRPr="00696AC6">
        <w:rPr>
          <w:rFonts w:ascii="Arial" w:eastAsia="Garamond,Bold" w:hAnsi="Arial" w:cs="Arial"/>
          <w:b/>
          <w:bCs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zawilgocenia.</w:t>
      </w:r>
    </w:p>
    <w:p w:rsidR="003C2126" w:rsidRPr="00696AC6" w:rsidRDefault="003C2126" w:rsidP="001223BF">
      <w:pPr>
        <w:autoSpaceDE w:val="0"/>
        <w:autoSpaceDN w:val="0"/>
        <w:adjustRightInd w:val="0"/>
        <w:spacing w:after="120" w:line="300" w:lineRule="atLeast"/>
        <w:ind w:left="426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Studnie betonowe lub żelbetowe należy projektować dla klasy ekspozycji XA3.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Dla powyższej klasy cechy betonu są następujące: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</w:p>
    <w:p w:rsidR="003C2126" w:rsidRPr="00696AC6" w:rsidRDefault="003C2126" w:rsidP="001223BF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beton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klasy C35/45 o w ≤0,45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cement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siarczanoodporny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CEM IIIA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42,5 lub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HSR 42,5 w ilości 360 kg/m3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kruszywo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grube łamane bazaltowe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nasiąkliwość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betonu 5%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1223BF" w:rsidRPr="00696AC6" w:rsidRDefault="003C2126" w:rsidP="001223BF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lastRenderedPageBreak/>
        <w:t>wodoszczelność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W10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autoSpaceDE w:val="0"/>
        <w:autoSpaceDN w:val="0"/>
        <w:adjustRightInd w:val="0"/>
        <w:spacing w:after="120" w:line="300" w:lineRule="atLeast"/>
        <w:ind w:left="426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 przypadku, kiedy agresywność środowiska przekracza klasę XA3 należy zastosować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wyroby wykonane z betonu o cechach:</w:t>
      </w:r>
    </w:p>
    <w:p w:rsidR="003C2126" w:rsidRPr="00696AC6" w:rsidRDefault="003C2126" w:rsidP="001223BF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beton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klasy C 40/50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wskaźnik w/c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≤ 0,40 + plastyfikator</w:t>
      </w:r>
      <w:proofErr w:type="gramEnd"/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sz w:val="18"/>
          <w:szCs w:val="18"/>
        </w:rPr>
        <w:t>cement CEM II/B-S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52,5 w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ilości 380 kg/m3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kruszywa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frakcjonowane o szczelnym stosie okruchowym 1940 kg/m3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nasiąkliwość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betonu 4,5%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1223BF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hanging="654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wodoszczelność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W12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3C2126" w:rsidRPr="00696AC6" w:rsidRDefault="003C2126" w:rsidP="00C37F77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300" w:lineRule="atLeast"/>
        <w:ind w:left="709" w:hanging="283"/>
        <w:jc w:val="both"/>
        <w:rPr>
          <w:rFonts w:ascii="Arial" w:eastAsia="Garamond,Bold" w:hAnsi="Arial" w:cs="Arial"/>
          <w:sz w:val="18"/>
          <w:szCs w:val="18"/>
        </w:rPr>
      </w:pPr>
      <w:proofErr w:type="gramStart"/>
      <w:r w:rsidRPr="00696AC6">
        <w:rPr>
          <w:rFonts w:ascii="Arial" w:eastAsia="Garamond,Bold" w:hAnsi="Arial" w:cs="Arial"/>
          <w:sz w:val="18"/>
          <w:szCs w:val="18"/>
        </w:rPr>
        <w:t>na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beton stykający się ze ściekami należy nakładać odpowiednio dobrane 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wielowarstwowe </w:t>
      </w:r>
      <w:r w:rsidRPr="00696AC6">
        <w:rPr>
          <w:rFonts w:ascii="Arial" w:eastAsia="Garamond,Bold" w:hAnsi="Arial" w:cs="Arial"/>
          <w:sz w:val="18"/>
          <w:szCs w:val="18"/>
        </w:rPr>
        <w:t xml:space="preserve">powłoki ochronne ( rodzaj powłok należy uzgodnić w PWiK 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w </w:t>
      </w:r>
      <w:r w:rsidRPr="00696AC6">
        <w:rPr>
          <w:rFonts w:ascii="Arial" w:eastAsia="Garamond,Bold" w:hAnsi="Arial" w:cs="Arial"/>
          <w:sz w:val="18"/>
          <w:szCs w:val="18"/>
        </w:rPr>
        <w:t>Śrem</w:t>
      </w:r>
      <w:r w:rsidR="001223BF" w:rsidRPr="00696AC6">
        <w:rPr>
          <w:rFonts w:ascii="Arial" w:eastAsia="Garamond,Bold" w:hAnsi="Arial" w:cs="Arial"/>
          <w:sz w:val="18"/>
          <w:szCs w:val="18"/>
        </w:rPr>
        <w:t>ie</w:t>
      </w:r>
      <w:r w:rsidRPr="00696AC6">
        <w:rPr>
          <w:rFonts w:ascii="Arial" w:eastAsia="Garamond,Bold" w:hAnsi="Arial" w:cs="Arial"/>
          <w:sz w:val="18"/>
          <w:szCs w:val="18"/>
        </w:rPr>
        <w:t xml:space="preserve"> na etapie wstępnym projektowania) lub ewentualnie wykładziny poliestrowe wzmocnione włóknem szklanym.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 w:cs="Arial"/>
          <w:sz w:val="18"/>
          <w:szCs w:val="18"/>
        </w:rPr>
      </w:pPr>
    </w:p>
    <w:p w:rsidR="00074F0A" w:rsidRPr="00696AC6" w:rsidRDefault="00074F0A" w:rsidP="00C37F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300" w:lineRule="atLeast"/>
        <w:ind w:left="284" w:hanging="284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696AC6">
        <w:rPr>
          <w:rFonts w:ascii="Arial" w:eastAsia="Garamond,Bold" w:hAnsi="Arial" w:cs="Arial"/>
          <w:b/>
          <w:bCs/>
          <w:sz w:val="18"/>
          <w:szCs w:val="18"/>
        </w:rPr>
        <w:t>Bibliografia</w:t>
      </w:r>
    </w:p>
    <w:p w:rsidR="00074F0A" w:rsidRPr="00696AC6" w:rsidRDefault="00074F0A" w:rsidP="00C37F77">
      <w:pPr>
        <w:autoSpaceDE w:val="0"/>
        <w:autoSpaceDN w:val="0"/>
        <w:adjustRightInd w:val="0"/>
        <w:spacing w:after="120" w:line="300" w:lineRule="atLeast"/>
        <w:ind w:left="28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1401 „Systemy przewodów rurowych z tworzyw sztucznych do bezciśnieniowej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podziemnej kanalizacji deszczowej i sanitarnej -- </w:t>
      </w:r>
      <w:proofErr w:type="spellStart"/>
      <w:r w:rsidR="001223BF" w:rsidRPr="00696AC6">
        <w:rPr>
          <w:rFonts w:ascii="Arial" w:eastAsia="Garamond,Bold" w:hAnsi="Arial" w:cs="Arial"/>
          <w:sz w:val="18"/>
          <w:szCs w:val="18"/>
        </w:rPr>
        <w:t>n</w:t>
      </w:r>
      <w:r w:rsidRPr="00696AC6">
        <w:rPr>
          <w:rFonts w:ascii="Arial" w:eastAsia="Garamond,Bold" w:hAnsi="Arial" w:cs="Arial"/>
          <w:sz w:val="18"/>
          <w:szCs w:val="18"/>
        </w:rPr>
        <w:t>ieplastyfikowany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poli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(chlorek winylu)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, </w:t>
      </w:r>
      <w:r w:rsidRPr="00696AC6">
        <w:rPr>
          <w:rFonts w:ascii="Arial" w:eastAsia="Garamond,Bold" w:hAnsi="Arial" w:cs="Arial"/>
          <w:sz w:val="18"/>
          <w:szCs w:val="18"/>
        </w:rPr>
        <w:t>(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PVC-U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 -- Część 1: Specyfikacje rur, kształtek i systemu”</w:t>
      </w:r>
      <w:r w:rsidR="001223BF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C37F77">
      <w:pPr>
        <w:autoSpaceDE w:val="0"/>
        <w:autoSpaceDN w:val="0"/>
        <w:adjustRightInd w:val="0"/>
        <w:spacing w:after="120" w:line="300" w:lineRule="atLeast"/>
        <w:ind w:left="284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[2]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1852 „Systemy przewodów rurowych z tworzyw sztucznych do podziemnego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bezciśnieniowego odwadniania i kanalizacji -- Polipropylen (PP) -- Część 1: Specyfikacje rur,</w:t>
      </w:r>
      <w:r w:rsidR="001223BF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kształtek i systemu”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[3]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13476-3 „Systemy przewodów rurowych z tworzyw sztucznych do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podziemnego bezciśnieniowego odwadniania i kanalizacji -- Systemy przewodów rurowych 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ściankach strukturalnych z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nieplastyfikowanego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poli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(chlorku winylu) (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PVC-U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), polipropylenu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, </w:t>
      </w:r>
      <w:r w:rsidRPr="00696AC6">
        <w:rPr>
          <w:rFonts w:ascii="Arial" w:eastAsia="Garamond,Bold" w:hAnsi="Arial" w:cs="Arial"/>
          <w:sz w:val="18"/>
          <w:szCs w:val="18"/>
        </w:rPr>
        <w:t>(PP) i polietylenu (PE) -- Część 3: Specyfikacje rur i kształtek o gładkiej powierzchni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wewnętrznej i profilowanej powierzchni zewnętrznej oraz systemu, typ B”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[4]</w:t>
      </w:r>
      <w:r w:rsidRPr="00696AC6">
        <w:rPr>
          <w:rFonts w:ascii="Arial" w:eastAsia="Garamond,Bold" w:hAnsi="Arial" w:cs="Arial"/>
          <w:sz w:val="18"/>
          <w:szCs w:val="18"/>
        </w:rPr>
        <w:t xml:space="preserve"> -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PN-EN 12666 -1  – „Systemy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przewodów rurowych z tworzyw sztucznych do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podziemnego bezciśnieniowego odwadniania i kanalizacji -- Polietylen (PE) -- Część 1: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Specyfikacje rur, kształtek i systemu”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[5]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295-1 ”Rury i kształtki kamionkowe i ich połączenia w sieci drenażowej i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kanalizacyjnej -- Wymagania”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[6]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295-2 „Rury i kształtki kamionkowe i ich połączenia w sieci drenażowej i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kanalizacyjnej --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Sterowanie jakością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i pobieranie próbek”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[7]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295-3:2012 „Systemy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rur kamionkowych w sieci drenażowej i kanalizacyjnej --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Część 3: Metody badań”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[8]</w:t>
      </w:r>
      <w:r w:rsidRPr="00696AC6">
        <w:rPr>
          <w:rFonts w:ascii="Arial" w:eastAsia="Garamond,Bold" w:hAnsi="Arial" w:cs="Arial"/>
          <w:sz w:val="18"/>
          <w:szCs w:val="18"/>
        </w:rPr>
        <w:t xml:space="preserve"> -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PN-EN 14364  „Systemy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przewodów rurowych z tworzyw sztucznych do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ciśnieniowego i bezciśnieniowego odwadniania i kanalizacji -- Termoutwardzalne tworzywa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sztuczne wzmocnione włóknem szklanym (GRP), na bazie nienasyconej żywicy poliestrowej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(UP) -- Specyfikacje rur, kształtek i połączeń”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  <w:lang w:val="en-US"/>
        </w:rPr>
      </w:pPr>
      <w:r w:rsidRPr="00696AC6">
        <w:rPr>
          <w:rFonts w:ascii="Arial" w:eastAsia="Garamond,Bold" w:hAnsi="Arial" w:cs="Arial"/>
          <w:b/>
          <w:sz w:val="18"/>
          <w:szCs w:val="18"/>
          <w:lang w:val="en-US"/>
        </w:rPr>
        <w:t>[9]</w:t>
      </w:r>
      <w:r w:rsidRPr="00696AC6">
        <w:rPr>
          <w:rFonts w:ascii="Arial" w:eastAsia="Garamond,Bold" w:hAnsi="Arial" w:cs="Arial"/>
          <w:sz w:val="18"/>
          <w:szCs w:val="18"/>
          <w:lang w:val="en-US"/>
        </w:rPr>
        <w:t xml:space="preserve"> - ISO 25780 “Plastics piping systems for pressure and non-pressure water supply,</w:t>
      </w:r>
      <w:r w:rsidR="00C37F77" w:rsidRPr="00696AC6">
        <w:rPr>
          <w:rFonts w:ascii="Arial" w:eastAsia="Garamond,Bold" w:hAnsi="Arial" w:cs="Arial"/>
          <w:sz w:val="18"/>
          <w:szCs w:val="18"/>
          <w:lang w:val="en-US"/>
        </w:rPr>
        <w:t xml:space="preserve">  </w:t>
      </w:r>
      <w:r w:rsidRPr="00696AC6">
        <w:rPr>
          <w:rFonts w:ascii="Arial" w:eastAsia="Garamond,Bold" w:hAnsi="Arial" w:cs="Arial"/>
          <w:sz w:val="18"/>
          <w:szCs w:val="18"/>
          <w:lang w:val="en-US"/>
        </w:rPr>
        <w:t>irrigation, drainage or sewerage -- Glass-reinforced thermosetting plastics (GRP) systems</w:t>
      </w:r>
      <w:r w:rsidR="00C37F77" w:rsidRPr="00696AC6">
        <w:rPr>
          <w:rFonts w:ascii="Arial" w:eastAsia="Garamond,Bold" w:hAnsi="Arial" w:cs="Arial"/>
          <w:sz w:val="18"/>
          <w:szCs w:val="18"/>
          <w:lang w:val="en-US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  <w:lang w:val="en-US"/>
        </w:rPr>
        <w:t>based on unsaturated polyester (UP) resin -- Pipes with flexible joints intended to be installed</w:t>
      </w:r>
      <w:r w:rsidR="00C37F77" w:rsidRPr="00696AC6">
        <w:rPr>
          <w:rFonts w:ascii="Arial" w:eastAsia="Garamond,Bold" w:hAnsi="Arial" w:cs="Arial"/>
          <w:sz w:val="18"/>
          <w:szCs w:val="18"/>
          <w:lang w:val="en-US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  <w:lang w:val="en-US"/>
        </w:rPr>
        <w:t>using jacking techniques”</w:t>
      </w:r>
      <w:r w:rsidR="00C37F77" w:rsidRPr="00696AC6">
        <w:rPr>
          <w:rFonts w:ascii="Arial" w:eastAsia="Garamond,Bold" w:hAnsi="Arial" w:cs="Arial"/>
          <w:sz w:val="18"/>
          <w:szCs w:val="18"/>
          <w:lang w:val="en-US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lastRenderedPageBreak/>
        <w:t>[10]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1916 -„Rury i kształtki z betonu niezbrojonego, betonu zbrojnego włóknem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stalowym i żelbetowe”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[11]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15564 „Prefabrykaty z betonu -- Beton modyfikowany żywicą -- Wymagania i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metody badań”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[12]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598 „Rury, kształtki i wyposażenie z żeliwa sferoidalnego oraz ich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połączenia do odprowadzania ścieków -- Wymagania i metody badań”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[13]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12201-2 „Systemy przewodów rurowych z tworzyw sztucznych do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przesyłania wody i do ciśnieniowego odwadniania i kanalizacji -- Polietylen (PE) -- Część 2: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Rury”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[14]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 681-1 -„Uszczelnienia z elastomerów -- Wymagania materiałowe dotyczące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uszczelek złączy rur wodociągowych i odwadniających -- Część 1: Guma”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[15]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PN-99/B-10729 „Kanalizacja – Studzienki kanalizacyjne”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[16]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13598-2:2009 „Systemy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przewodów rurowych z tworzyw sztucznych do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podziemnej bezciśnieniowej kanalizacji deszczowej i sanitarnej </w:t>
      </w:r>
      <w:r w:rsidR="00C37F77" w:rsidRPr="00696AC6">
        <w:rPr>
          <w:rFonts w:ascii="Arial" w:eastAsia="Garamond,Bold" w:hAnsi="Arial" w:cs="Arial"/>
          <w:sz w:val="18"/>
          <w:szCs w:val="18"/>
        </w:rPr>
        <w:t>–</w:t>
      </w:r>
      <w:r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Nieplastyfikowany</w:t>
      </w:r>
      <w:proofErr w:type="spellEnd"/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poli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(chlorek winylu) (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PVC-U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>), polipropylen (PP) i polietylen (PE) -- Część 2: Specyfikacje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studzienek włazowych i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niewłazowych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instalowanych w obszarach ruchu kołowego głęboko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pod ziemią”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[17]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14830:2007 „Podstawy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studzienek włazowych i </w:t>
      </w:r>
      <w:proofErr w:type="spellStart"/>
      <w:r w:rsidRPr="00696AC6">
        <w:rPr>
          <w:rFonts w:ascii="Arial" w:eastAsia="Garamond,Bold" w:hAnsi="Arial" w:cs="Arial"/>
          <w:sz w:val="18"/>
          <w:szCs w:val="18"/>
        </w:rPr>
        <w:t>niewłazowych</w:t>
      </w:r>
      <w:proofErr w:type="spellEnd"/>
      <w:r w:rsidRPr="00696AC6">
        <w:rPr>
          <w:rFonts w:ascii="Arial" w:eastAsia="Garamond,Bold" w:hAnsi="Arial" w:cs="Arial"/>
          <w:sz w:val="18"/>
          <w:szCs w:val="18"/>
        </w:rPr>
        <w:t xml:space="preserve"> z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termoplastycznych tworzyw sztucznych -- Badanie odporności na odkształcenie”</w:t>
      </w:r>
      <w:r w:rsidR="00C37F77" w:rsidRPr="00696AC6">
        <w:rPr>
          <w:rFonts w:ascii="Arial" w:eastAsia="Garamond,Bold" w:hAnsi="Arial" w:cs="Arial"/>
          <w:sz w:val="18"/>
          <w:szCs w:val="18"/>
        </w:rPr>
        <w:t>,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[18]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1277:2005 „Systemy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przewodów rurowych z tworzyw sztucznych </w:t>
      </w:r>
      <w:r w:rsidR="00C37F77" w:rsidRPr="00696AC6">
        <w:rPr>
          <w:rFonts w:ascii="Arial" w:eastAsia="Garamond,Bold" w:hAnsi="Arial" w:cs="Arial"/>
          <w:sz w:val="18"/>
          <w:szCs w:val="18"/>
        </w:rPr>
        <w:t>–</w:t>
      </w:r>
      <w:r w:rsidRPr="00696AC6">
        <w:rPr>
          <w:rFonts w:ascii="Arial" w:eastAsia="Garamond,Bold" w:hAnsi="Arial" w:cs="Arial"/>
          <w:sz w:val="18"/>
          <w:szCs w:val="18"/>
        </w:rPr>
        <w:t xml:space="preserve"> Systemy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przewodów rurowych z tworzyw termoplastycznych do bezciśnieniowych sieci układanych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pod ziemią - Metoda badania szczelności połączeń z elastomerowym pierścieniem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uszczelniającym”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[19]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124:2000 „Zwieńczenia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wpustów i studzienek kanalizacyjnych do nawierzchni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 xml:space="preserve">dla ruchu pieszego i kołowego. Zasady konstrukcji, badania typu, znakowanie, 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>sterowanie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jakością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>”.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sz w:val="18"/>
          <w:szCs w:val="18"/>
        </w:rPr>
        <w:t>[20]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206-1:2003; ze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zmianą PN-EN 206-1:2003/A1:2005 wprowadzoną w 2005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oraz zmianą PN-EN 206-1:2003/A2:2006 „Beton -- Część 1: Wymagania, właściwości,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produkcja i zgodność”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ind w:left="360"/>
        <w:jc w:val="both"/>
        <w:rPr>
          <w:rFonts w:ascii="Arial" w:eastAsia="Garamond,Bold" w:hAnsi="Arial" w:cs="Arial"/>
          <w:sz w:val="18"/>
          <w:szCs w:val="18"/>
        </w:rPr>
      </w:pPr>
      <w:r w:rsidRPr="00696AC6">
        <w:rPr>
          <w:rFonts w:ascii="Arial" w:eastAsia="Garamond,Bold" w:hAnsi="Arial" w:cs="Arial"/>
          <w:b/>
          <w:i/>
          <w:sz w:val="18"/>
          <w:szCs w:val="18"/>
        </w:rPr>
        <w:t>[21]</w:t>
      </w:r>
      <w:r w:rsidRPr="00696AC6">
        <w:rPr>
          <w:rFonts w:ascii="Arial" w:eastAsia="Garamond,Bold" w:hAnsi="Arial" w:cs="Arial"/>
          <w:sz w:val="18"/>
          <w:szCs w:val="18"/>
        </w:rPr>
        <w:t xml:space="preserve"> - PN-EN</w:t>
      </w:r>
      <w:proofErr w:type="gramStart"/>
      <w:r w:rsidRPr="00696AC6">
        <w:rPr>
          <w:rFonts w:ascii="Arial" w:eastAsia="Garamond,Bold" w:hAnsi="Arial" w:cs="Arial"/>
          <w:sz w:val="18"/>
          <w:szCs w:val="18"/>
        </w:rPr>
        <w:t xml:space="preserve"> 197-1:2012 „Cement</w:t>
      </w:r>
      <w:proofErr w:type="gramEnd"/>
      <w:r w:rsidRPr="00696AC6">
        <w:rPr>
          <w:rFonts w:ascii="Arial" w:eastAsia="Garamond,Bold" w:hAnsi="Arial" w:cs="Arial"/>
          <w:sz w:val="18"/>
          <w:szCs w:val="18"/>
        </w:rPr>
        <w:t xml:space="preserve"> -- Część 1: Skład, wymagania i kryteria zgodności</w:t>
      </w:r>
      <w:r w:rsidR="00C37F77" w:rsidRPr="00696AC6">
        <w:rPr>
          <w:rFonts w:ascii="Arial" w:eastAsia="Garamond,Bold" w:hAnsi="Arial" w:cs="Arial"/>
          <w:sz w:val="18"/>
          <w:szCs w:val="18"/>
        </w:rPr>
        <w:t xml:space="preserve"> </w:t>
      </w:r>
      <w:r w:rsidRPr="00696AC6">
        <w:rPr>
          <w:rFonts w:ascii="Arial" w:eastAsia="Garamond,Bold" w:hAnsi="Arial" w:cs="Arial"/>
          <w:sz w:val="18"/>
          <w:szCs w:val="18"/>
        </w:rPr>
        <w:t>dotyczące cementów powszechnego użytku”</w:t>
      </w:r>
    </w:p>
    <w:p w:rsidR="00074F0A" w:rsidRPr="00696AC6" w:rsidRDefault="00074F0A" w:rsidP="00074F0A">
      <w:pPr>
        <w:autoSpaceDE w:val="0"/>
        <w:autoSpaceDN w:val="0"/>
        <w:adjustRightInd w:val="0"/>
        <w:spacing w:after="120" w:line="300" w:lineRule="atLeast"/>
        <w:jc w:val="both"/>
        <w:rPr>
          <w:rFonts w:ascii="Arial" w:eastAsia="Garamond,Bold" w:hAnsi="Arial"/>
          <w:sz w:val="18"/>
          <w:szCs w:val="18"/>
        </w:rPr>
      </w:pPr>
    </w:p>
    <w:p w:rsidR="00C37F77" w:rsidRPr="00696AC6" w:rsidRDefault="00C37F77" w:rsidP="00C37F77">
      <w:pPr>
        <w:autoSpaceDE w:val="0"/>
        <w:autoSpaceDN w:val="0"/>
        <w:adjustRightInd w:val="0"/>
        <w:spacing w:after="120" w:line="300" w:lineRule="atLeast"/>
        <w:ind w:firstLine="360"/>
        <w:jc w:val="both"/>
        <w:rPr>
          <w:rFonts w:ascii="Arial" w:eastAsia="Garamond,Bold" w:hAnsi="Arial"/>
          <w:b/>
          <w:i/>
          <w:sz w:val="18"/>
          <w:szCs w:val="18"/>
        </w:rPr>
      </w:pPr>
      <w:r w:rsidRPr="00696AC6">
        <w:rPr>
          <w:rFonts w:ascii="Arial" w:eastAsia="Garamond,Bold" w:hAnsi="Arial"/>
          <w:b/>
          <w:i/>
          <w:sz w:val="18"/>
          <w:szCs w:val="18"/>
        </w:rPr>
        <w:t>Zatwierdzam</w:t>
      </w:r>
    </w:p>
    <w:p w:rsidR="00C37F77" w:rsidRPr="00696AC6" w:rsidRDefault="00C37F77" w:rsidP="00C37F77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Arial" w:eastAsia="Garamond,Bold" w:hAnsi="Arial"/>
          <w:sz w:val="18"/>
          <w:szCs w:val="18"/>
        </w:rPr>
      </w:pPr>
      <w:r w:rsidRPr="00696AC6">
        <w:rPr>
          <w:rFonts w:ascii="Arial" w:eastAsia="Garamond,Bold" w:hAnsi="Arial"/>
          <w:sz w:val="18"/>
          <w:szCs w:val="18"/>
        </w:rPr>
        <w:t>Prezes Zarządu</w:t>
      </w:r>
    </w:p>
    <w:p w:rsidR="00C37F77" w:rsidRPr="00696AC6" w:rsidRDefault="00C37F77" w:rsidP="00C37F77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Arial" w:eastAsia="Garamond,Bold" w:hAnsi="Arial"/>
          <w:sz w:val="18"/>
          <w:szCs w:val="18"/>
        </w:rPr>
      </w:pPr>
      <w:r w:rsidRPr="00696AC6">
        <w:rPr>
          <w:rFonts w:ascii="Arial" w:eastAsia="Garamond,Bold" w:hAnsi="Arial"/>
          <w:sz w:val="18"/>
          <w:szCs w:val="18"/>
        </w:rPr>
        <w:t>Włodzimierz Pepeta</w:t>
      </w:r>
    </w:p>
    <w:sectPr w:rsidR="00C37F77" w:rsidRPr="00696AC6" w:rsidSect="0052446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BDA"/>
    <w:multiLevelType w:val="hybridMultilevel"/>
    <w:tmpl w:val="7D3CE0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662DD"/>
    <w:multiLevelType w:val="multilevel"/>
    <w:tmpl w:val="12F0C2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2F7009"/>
    <w:multiLevelType w:val="hybridMultilevel"/>
    <w:tmpl w:val="A3A09F68"/>
    <w:lvl w:ilvl="0" w:tplc="E6D8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AE57C4"/>
    <w:multiLevelType w:val="hybridMultilevel"/>
    <w:tmpl w:val="492C78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47744B"/>
    <w:multiLevelType w:val="multilevel"/>
    <w:tmpl w:val="73BA2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E8058B"/>
    <w:multiLevelType w:val="hybridMultilevel"/>
    <w:tmpl w:val="CE74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E5714C"/>
    <w:multiLevelType w:val="hybridMultilevel"/>
    <w:tmpl w:val="628AA49E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6B41084"/>
    <w:multiLevelType w:val="hybridMultilevel"/>
    <w:tmpl w:val="3D067B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082F30"/>
    <w:multiLevelType w:val="hybridMultilevel"/>
    <w:tmpl w:val="832A54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BC4FE3"/>
    <w:multiLevelType w:val="hybridMultilevel"/>
    <w:tmpl w:val="CAD03A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372678D4"/>
    <w:multiLevelType w:val="hybridMultilevel"/>
    <w:tmpl w:val="38C091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7EC0943"/>
    <w:multiLevelType w:val="hybridMultilevel"/>
    <w:tmpl w:val="64D0F260"/>
    <w:lvl w:ilvl="0" w:tplc="E6D8AF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AB32081"/>
    <w:multiLevelType w:val="hybridMultilevel"/>
    <w:tmpl w:val="30826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A4A34"/>
    <w:multiLevelType w:val="hybridMultilevel"/>
    <w:tmpl w:val="F2181920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53F82231"/>
    <w:multiLevelType w:val="hybridMultilevel"/>
    <w:tmpl w:val="CC3E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7227A"/>
    <w:multiLevelType w:val="hybridMultilevel"/>
    <w:tmpl w:val="5BBA45AE"/>
    <w:lvl w:ilvl="0" w:tplc="04150017">
      <w:start w:val="1"/>
      <w:numFmt w:val="lowerLetter"/>
      <w:lvlText w:val="%1)"/>
      <w:lvlJc w:val="left"/>
      <w:pPr>
        <w:ind w:left="2564" w:hanging="360"/>
      </w:p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6">
    <w:nsid w:val="587E15EA"/>
    <w:multiLevelType w:val="hybridMultilevel"/>
    <w:tmpl w:val="BE8478C4"/>
    <w:lvl w:ilvl="0" w:tplc="B3CABB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E52B3"/>
    <w:multiLevelType w:val="hybridMultilevel"/>
    <w:tmpl w:val="4A2A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F903C6"/>
    <w:multiLevelType w:val="hybridMultilevel"/>
    <w:tmpl w:val="DC8A4E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C5755"/>
    <w:multiLevelType w:val="hybridMultilevel"/>
    <w:tmpl w:val="4E36C3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6F113B58"/>
    <w:multiLevelType w:val="hybridMultilevel"/>
    <w:tmpl w:val="A6C8CD48"/>
    <w:lvl w:ilvl="0" w:tplc="E6D8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693755"/>
    <w:multiLevelType w:val="hybridMultilevel"/>
    <w:tmpl w:val="810ABAB8"/>
    <w:lvl w:ilvl="0" w:tplc="908CB2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CA0538"/>
    <w:multiLevelType w:val="hybridMultilevel"/>
    <w:tmpl w:val="C186BDF2"/>
    <w:lvl w:ilvl="0" w:tplc="E6D8AF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44F5D92"/>
    <w:multiLevelType w:val="hybridMultilevel"/>
    <w:tmpl w:val="FB44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74F3A"/>
    <w:multiLevelType w:val="multilevel"/>
    <w:tmpl w:val="54688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C686F0F"/>
    <w:multiLevelType w:val="multilevel"/>
    <w:tmpl w:val="628AA49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7FFD6112"/>
    <w:multiLevelType w:val="hybridMultilevel"/>
    <w:tmpl w:val="5FA80D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0"/>
  </w:num>
  <w:num w:numId="5">
    <w:abstractNumId w:val="17"/>
  </w:num>
  <w:num w:numId="6">
    <w:abstractNumId w:val="5"/>
  </w:num>
  <w:num w:numId="7">
    <w:abstractNumId w:val="6"/>
  </w:num>
  <w:num w:numId="8">
    <w:abstractNumId w:val="25"/>
  </w:num>
  <w:num w:numId="9">
    <w:abstractNumId w:val="21"/>
  </w:num>
  <w:num w:numId="10">
    <w:abstractNumId w:val="4"/>
  </w:num>
  <w:num w:numId="11">
    <w:abstractNumId w:val="1"/>
  </w:num>
  <w:num w:numId="12">
    <w:abstractNumId w:val="22"/>
  </w:num>
  <w:num w:numId="13">
    <w:abstractNumId w:val="11"/>
  </w:num>
  <w:num w:numId="14">
    <w:abstractNumId w:val="2"/>
  </w:num>
  <w:num w:numId="15">
    <w:abstractNumId w:val="20"/>
  </w:num>
  <w:num w:numId="16">
    <w:abstractNumId w:val="7"/>
  </w:num>
  <w:num w:numId="17">
    <w:abstractNumId w:val="8"/>
  </w:num>
  <w:num w:numId="18">
    <w:abstractNumId w:val="15"/>
  </w:num>
  <w:num w:numId="19">
    <w:abstractNumId w:val="13"/>
  </w:num>
  <w:num w:numId="20">
    <w:abstractNumId w:val="12"/>
  </w:num>
  <w:num w:numId="21">
    <w:abstractNumId w:val="0"/>
  </w:num>
  <w:num w:numId="22">
    <w:abstractNumId w:val="16"/>
  </w:num>
  <w:num w:numId="23">
    <w:abstractNumId w:val="23"/>
  </w:num>
  <w:num w:numId="24">
    <w:abstractNumId w:val="18"/>
  </w:num>
  <w:num w:numId="25">
    <w:abstractNumId w:val="3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85ACD"/>
    <w:rsid w:val="000301F2"/>
    <w:rsid w:val="00062064"/>
    <w:rsid w:val="00067619"/>
    <w:rsid w:val="00074F0A"/>
    <w:rsid w:val="000A3FB2"/>
    <w:rsid w:val="001223BF"/>
    <w:rsid w:val="001B01F4"/>
    <w:rsid w:val="00206750"/>
    <w:rsid w:val="0022032A"/>
    <w:rsid w:val="002245ED"/>
    <w:rsid w:val="00240CB3"/>
    <w:rsid w:val="00246401"/>
    <w:rsid w:val="00247743"/>
    <w:rsid w:val="00250CC3"/>
    <w:rsid w:val="003B0D38"/>
    <w:rsid w:val="003B5B29"/>
    <w:rsid w:val="003C2126"/>
    <w:rsid w:val="00416123"/>
    <w:rsid w:val="00452FC0"/>
    <w:rsid w:val="00470C5D"/>
    <w:rsid w:val="00505631"/>
    <w:rsid w:val="00524464"/>
    <w:rsid w:val="005776FE"/>
    <w:rsid w:val="00585ACD"/>
    <w:rsid w:val="00684FE9"/>
    <w:rsid w:val="00696AC6"/>
    <w:rsid w:val="006A0E35"/>
    <w:rsid w:val="006A7040"/>
    <w:rsid w:val="00771D9E"/>
    <w:rsid w:val="007D5714"/>
    <w:rsid w:val="007E0711"/>
    <w:rsid w:val="00803662"/>
    <w:rsid w:val="00803B98"/>
    <w:rsid w:val="008855D3"/>
    <w:rsid w:val="00941F7D"/>
    <w:rsid w:val="009445E1"/>
    <w:rsid w:val="009558D0"/>
    <w:rsid w:val="009847D3"/>
    <w:rsid w:val="00992B28"/>
    <w:rsid w:val="009B17F0"/>
    <w:rsid w:val="009F5CA3"/>
    <w:rsid w:val="00A10E83"/>
    <w:rsid w:val="00B67453"/>
    <w:rsid w:val="00BE6D6D"/>
    <w:rsid w:val="00C37F77"/>
    <w:rsid w:val="00CA5038"/>
    <w:rsid w:val="00CB26C4"/>
    <w:rsid w:val="00CD245D"/>
    <w:rsid w:val="00CD6565"/>
    <w:rsid w:val="00D3657B"/>
    <w:rsid w:val="00D431D6"/>
    <w:rsid w:val="00D45B07"/>
    <w:rsid w:val="00D76BD1"/>
    <w:rsid w:val="00D94CCB"/>
    <w:rsid w:val="00D973DD"/>
    <w:rsid w:val="00DC00C5"/>
    <w:rsid w:val="00DF78AC"/>
    <w:rsid w:val="00E76760"/>
    <w:rsid w:val="00E93A18"/>
    <w:rsid w:val="00EC53BC"/>
    <w:rsid w:val="00ED6076"/>
    <w:rsid w:val="00EF59D5"/>
    <w:rsid w:val="00F10633"/>
    <w:rsid w:val="00F120B5"/>
    <w:rsid w:val="00F8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3B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0CC3"/>
    <w:pPr>
      <w:ind w:left="720"/>
    </w:pPr>
  </w:style>
  <w:style w:type="table" w:styleId="Tabela-Siatka">
    <w:name w:val="Table Grid"/>
    <w:basedOn w:val="Standardowy"/>
    <w:uiPriority w:val="99"/>
    <w:locked/>
    <w:rsid w:val="00E76760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3B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0CC3"/>
    <w:pPr>
      <w:ind w:left="720"/>
    </w:pPr>
  </w:style>
  <w:style w:type="table" w:styleId="Tabela-Siatka">
    <w:name w:val="Table Grid"/>
    <w:basedOn w:val="Standardowy"/>
    <w:uiPriority w:val="99"/>
    <w:locked/>
    <w:rsid w:val="00E76760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33B0-49D8-4C70-AF71-A30682D2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2150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MATERIAŁOWE STOSOWANE DO BUDOWY KANALIZACJI SANITARNEJ PRZEZ PWIK W ŚREMIE SP</vt:lpstr>
    </vt:vector>
  </TitlesOfParts>
  <Company/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MATERIAŁOWE STOSOWANE DO BUDOWY KANALIZACJI SANITARNEJ PRZEZ PWIK W ŚREMIE SP</dc:title>
  <dc:creator>User</dc:creator>
  <cp:lastModifiedBy>Użytkownik</cp:lastModifiedBy>
  <cp:revision>2</cp:revision>
  <cp:lastPrinted>2014-09-25T11:32:00Z</cp:lastPrinted>
  <dcterms:created xsi:type="dcterms:W3CDTF">2016-07-14T07:32:00Z</dcterms:created>
  <dcterms:modified xsi:type="dcterms:W3CDTF">2016-07-14T07:32:00Z</dcterms:modified>
</cp:coreProperties>
</file>